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04" w:rsidRPr="000624FE" w:rsidRDefault="00A61804" w:rsidP="00A61804">
      <w:pPr>
        <w:pStyle w:val="a6"/>
        <w:ind w:left="0"/>
        <w:jc w:val="right"/>
        <w:outlineLvl w:val="0"/>
        <w:rPr>
          <w:rFonts w:cs="Arial"/>
          <w:b w:val="0"/>
          <w:sz w:val="22"/>
        </w:rPr>
      </w:pPr>
      <w:bookmarkStart w:id="0" w:name="_Toc476325812"/>
      <w:r w:rsidRPr="000624FE">
        <w:rPr>
          <w:rFonts w:cs="Arial"/>
          <w:b w:val="0"/>
          <w:sz w:val="22"/>
        </w:rPr>
        <w:t>УТВЕРЖДЕН</w:t>
      </w:r>
    </w:p>
    <w:p w:rsidR="00A61804" w:rsidRPr="000624FE" w:rsidRDefault="00A61804" w:rsidP="00A61804">
      <w:pPr>
        <w:jc w:val="right"/>
        <w:rPr>
          <w:rFonts w:ascii="Arial" w:hAnsi="Arial" w:cs="Arial"/>
          <w:b w:val="0"/>
          <w:sz w:val="22"/>
          <w:szCs w:val="22"/>
        </w:rPr>
      </w:pPr>
      <w:r w:rsidRPr="000624FE">
        <w:rPr>
          <w:rFonts w:ascii="Arial" w:hAnsi="Arial" w:cs="Arial"/>
          <w:b w:val="0"/>
          <w:sz w:val="22"/>
          <w:szCs w:val="22"/>
        </w:rPr>
        <w:t>Решением общего собрания участников</w:t>
      </w:r>
    </w:p>
    <w:p w:rsidR="00A61804" w:rsidRPr="000624FE" w:rsidRDefault="00A61804" w:rsidP="00A61804">
      <w:pPr>
        <w:jc w:val="right"/>
        <w:rPr>
          <w:rFonts w:ascii="Arial" w:hAnsi="Arial" w:cs="Arial"/>
          <w:b w:val="0"/>
          <w:sz w:val="22"/>
          <w:szCs w:val="22"/>
        </w:rPr>
      </w:pPr>
      <w:r w:rsidRPr="000624FE">
        <w:rPr>
          <w:rFonts w:ascii="Arial" w:hAnsi="Arial" w:cs="Arial"/>
          <w:b w:val="0"/>
          <w:sz w:val="22"/>
          <w:szCs w:val="22"/>
        </w:rPr>
        <w:t xml:space="preserve"> ТОО «Клиринговый центр ЕТС»,</w:t>
      </w:r>
    </w:p>
    <w:p w:rsidR="00A61804" w:rsidRPr="000624FE" w:rsidRDefault="00A61804" w:rsidP="00A61804">
      <w:pPr>
        <w:jc w:val="right"/>
        <w:rPr>
          <w:rFonts w:ascii="Arial" w:hAnsi="Arial" w:cs="Arial"/>
          <w:b w:val="0"/>
          <w:sz w:val="22"/>
          <w:szCs w:val="22"/>
        </w:rPr>
      </w:pPr>
      <w:r w:rsidRPr="000624FE">
        <w:rPr>
          <w:rFonts w:ascii="Arial" w:hAnsi="Arial" w:cs="Arial"/>
          <w:b w:val="0"/>
          <w:sz w:val="22"/>
          <w:szCs w:val="22"/>
        </w:rPr>
        <w:t xml:space="preserve"> протокол № </w:t>
      </w:r>
      <w:r w:rsidR="001E4FDF">
        <w:rPr>
          <w:rFonts w:ascii="Arial" w:hAnsi="Arial" w:cs="Arial"/>
          <w:b w:val="0"/>
          <w:sz w:val="22"/>
          <w:szCs w:val="22"/>
        </w:rPr>
        <w:t>39</w:t>
      </w:r>
      <w:r w:rsidRPr="000624FE">
        <w:rPr>
          <w:rFonts w:ascii="Arial" w:hAnsi="Arial" w:cs="Arial"/>
          <w:b w:val="0"/>
          <w:sz w:val="22"/>
          <w:szCs w:val="22"/>
        </w:rPr>
        <w:t xml:space="preserve"> от «</w:t>
      </w:r>
      <w:r w:rsidR="001E4FDF">
        <w:rPr>
          <w:rFonts w:ascii="Arial" w:hAnsi="Arial" w:cs="Arial"/>
          <w:b w:val="0"/>
          <w:sz w:val="22"/>
          <w:szCs w:val="22"/>
        </w:rPr>
        <w:t>01</w:t>
      </w:r>
      <w:r w:rsidRPr="000624FE">
        <w:rPr>
          <w:rFonts w:ascii="Arial" w:hAnsi="Arial" w:cs="Arial"/>
          <w:b w:val="0"/>
          <w:sz w:val="22"/>
          <w:szCs w:val="22"/>
        </w:rPr>
        <w:t xml:space="preserve">» </w:t>
      </w:r>
      <w:r w:rsidR="001E4FDF">
        <w:rPr>
          <w:rFonts w:ascii="Arial" w:hAnsi="Arial" w:cs="Arial"/>
          <w:b w:val="0"/>
          <w:sz w:val="22"/>
          <w:szCs w:val="22"/>
        </w:rPr>
        <w:t>июня</w:t>
      </w:r>
      <w:bookmarkStart w:id="1" w:name="_GoBack"/>
      <w:bookmarkEnd w:id="1"/>
      <w:r w:rsidRPr="000624FE">
        <w:rPr>
          <w:rFonts w:ascii="Arial" w:hAnsi="Arial" w:cs="Arial"/>
          <w:b w:val="0"/>
          <w:sz w:val="22"/>
          <w:szCs w:val="22"/>
        </w:rPr>
        <w:t xml:space="preserve"> 2017 года</w:t>
      </w:r>
    </w:p>
    <w:p w:rsidR="00A61804" w:rsidRPr="000624FE" w:rsidRDefault="00A61804" w:rsidP="00A61804">
      <w:pPr>
        <w:pStyle w:val="1"/>
        <w:numPr>
          <w:ilvl w:val="0"/>
          <w:numId w:val="0"/>
        </w:numPr>
        <w:ind w:left="1"/>
        <w:rPr>
          <w:rFonts w:ascii="Arial" w:hAnsi="Arial" w:cs="Arial"/>
          <w:b/>
          <w:sz w:val="22"/>
          <w:szCs w:val="22"/>
        </w:rPr>
      </w:pPr>
    </w:p>
    <w:p w:rsidR="00DD58BD" w:rsidRPr="000624FE" w:rsidRDefault="00E01593" w:rsidP="00A61804">
      <w:pPr>
        <w:pStyle w:val="1"/>
        <w:numPr>
          <w:ilvl w:val="0"/>
          <w:numId w:val="0"/>
        </w:numPr>
        <w:ind w:left="1"/>
        <w:rPr>
          <w:rFonts w:ascii="Arial" w:hAnsi="Arial" w:cs="Arial"/>
          <w:b/>
          <w:sz w:val="22"/>
          <w:szCs w:val="22"/>
        </w:rPr>
      </w:pPr>
      <w:r w:rsidRPr="000624FE">
        <w:rPr>
          <w:rFonts w:ascii="Arial" w:hAnsi="Arial" w:cs="Arial"/>
          <w:b/>
          <w:sz w:val="22"/>
          <w:szCs w:val="22"/>
        </w:rPr>
        <w:t>Глоссарий т</w:t>
      </w:r>
      <w:r w:rsidR="00DD58BD" w:rsidRPr="000624FE">
        <w:rPr>
          <w:rFonts w:ascii="Arial" w:hAnsi="Arial" w:cs="Arial"/>
          <w:b/>
          <w:sz w:val="22"/>
          <w:szCs w:val="22"/>
        </w:rPr>
        <w:t>ермин</w:t>
      </w:r>
      <w:r w:rsidRPr="000624FE">
        <w:rPr>
          <w:rFonts w:ascii="Arial" w:hAnsi="Arial" w:cs="Arial"/>
          <w:b/>
          <w:sz w:val="22"/>
          <w:szCs w:val="22"/>
        </w:rPr>
        <w:t xml:space="preserve">ов </w:t>
      </w:r>
      <w:r w:rsidR="00DD58BD" w:rsidRPr="000624FE">
        <w:rPr>
          <w:rFonts w:ascii="Arial" w:hAnsi="Arial" w:cs="Arial"/>
          <w:b/>
          <w:sz w:val="22"/>
          <w:szCs w:val="22"/>
        </w:rPr>
        <w:t>и определени</w:t>
      </w:r>
      <w:bookmarkEnd w:id="0"/>
      <w:r w:rsidRPr="000624FE">
        <w:rPr>
          <w:rFonts w:ascii="Arial" w:hAnsi="Arial" w:cs="Arial"/>
          <w:b/>
          <w:sz w:val="22"/>
          <w:szCs w:val="22"/>
        </w:rPr>
        <w:t>й</w:t>
      </w:r>
      <w:r w:rsidR="00564F49" w:rsidRPr="000624FE">
        <w:rPr>
          <w:rFonts w:ascii="Arial" w:hAnsi="Arial" w:cs="Arial"/>
          <w:b/>
          <w:sz w:val="22"/>
          <w:szCs w:val="22"/>
        </w:rPr>
        <w:br/>
      </w:r>
      <w:r w:rsidR="004758D8" w:rsidRPr="000624FE">
        <w:rPr>
          <w:rFonts w:ascii="Arial" w:hAnsi="Arial" w:cs="Arial"/>
          <w:b/>
          <w:sz w:val="22"/>
          <w:szCs w:val="22"/>
        </w:rPr>
        <w:t xml:space="preserve">электронной торговой </w:t>
      </w:r>
      <w:r w:rsidR="00564F49" w:rsidRPr="000624FE">
        <w:rPr>
          <w:rFonts w:ascii="Arial" w:hAnsi="Arial" w:cs="Arial"/>
          <w:b/>
          <w:sz w:val="22"/>
          <w:szCs w:val="22"/>
        </w:rPr>
        <w:t>площадки</w:t>
      </w:r>
      <w:r w:rsidR="004758D8" w:rsidRPr="000624FE">
        <w:rPr>
          <w:rFonts w:ascii="Arial" w:hAnsi="Arial" w:cs="Arial"/>
          <w:b/>
          <w:sz w:val="22"/>
          <w:szCs w:val="22"/>
        </w:rPr>
        <w:t xml:space="preserve"> ЕТС</w:t>
      </w:r>
      <w:r w:rsidR="00564F49" w:rsidRPr="000624FE">
        <w:rPr>
          <w:rFonts w:ascii="Arial" w:hAnsi="Arial" w:cs="Arial"/>
          <w:b/>
          <w:sz w:val="22"/>
          <w:szCs w:val="22"/>
        </w:rPr>
        <w:t>-Тендер</w:t>
      </w:r>
    </w:p>
    <w:p w:rsidR="00DD58BD" w:rsidRPr="000624FE" w:rsidRDefault="00DD58BD" w:rsidP="00392F51">
      <w:pPr>
        <w:rPr>
          <w:rFonts w:ascii="Arial" w:hAnsi="Arial" w:cs="Arial"/>
          <w:b w:val="0"/>
          <w:sz w:val="22"/>
          <w:szCs w:val="22"/>
        </w:rPr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2626"/>
        <w:gridCol w:w="6945"/>
      </w:tblGrid>
      <w:tr w:rsidR="000624FE" w:rsidRPr="000624FE" w:rsidTr="0008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Используемые наименования термина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24FE">
              <w:rPr>
                <w:rFonts w:ascii="Arial" w:hAnsi="Arial" w:cs="Arial"/>
                <w:sz w:val="22"/>
                <w:szCs w:val="22"/>
              </w:rPr>
              <w:t>Определение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Альтернативные предложения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Альтернативным является предложение, дополнительное к основному и содержащее одно или несколько измененных относительно содержащихся в основном предложении организационно-технических решений, коммерческих решений, характеристик предлагаемой Продукции или условий договора.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Аналог позиции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Предложение по Позиции, содержащее изменённые относительно требований Организатора характеристики предлагаемой Продукции.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Аукцион покупателя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Конкурентный способ закупки, предполагающий обязательное заключение договора с Победителем (если таковой определен), при проведении которого Организатор заранее информирует Поставщиков о потребности в Продукции, приглашает подавать Заявки; заранее назначенная Организатором Аукционная комиссия рассматривает их и определяет Победителя как лицо, соответствующее требованиям Документации и предложившее наиболее низкую цену договора.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Главный пользователь</w:t>
            </w:r>
          </w:p>
        </w:tc>
        <w:tc>
          <w:tcPr>
            <w:tcW w:w="3628" w:type="pct"/>
            <w:hideMark/>
          </w:tcPr>
          <w:p w:rsidR="00DD58BD" w:rsidRPr="000624FE" w:rsidRDefault="00DD58BD" w:rsidP="00A75C35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Пользователь, наделённый полномочиями по совершению полного комплекса действий, связанных с работой в Личном кабинете, подготовкой, публикацией, редактированием, завершением Процедуры и(или) подготовкой, отправкой, редактированием, отзывом Заявки Участника по Процедуре</w:t>
            </w:r>
            <w:r w:rsidR="00A75C35" w:rsidRPr="000624FE">
              <w:rPr>
                <w:rFonts w:ascii="Arial" w:hAnsi="Arial" w:cs="Arial"/>
                <w:b w:val="0"/>
                <w:sz w:val="22"/>
                <w:szCs w:val="22"/>
              </w:rPr>
              <w:t>, управлением остатками Счета Участника Системы, правом подачи заявки на вывод денежных средств со Счета Участника Системы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</w:tcPr>
          <w:p w:rsidR="002C6F07" w:rsidRPr="000624FE" w:rsidRDefault="002C6F07" w:rsidP="00D9306F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Гарантийное обеспечение Оператора Системы</w:t>
            </w:r>
          </w:p>
        </w:tc>
        <w:tc>
          <w:tcPr>
            <w:tcW w:w="3628" w:type="pct"/>
          </w:tcPr>
          <w:p w:rsidR="002C6F07" w:rsidRPr="000624FE" w:rsidRDefault="002C6F07" w:rsidP="00976FB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Денежные средства, вносимые Участником Системы по регламенту Системы на счета Оператора Системы и депонируемые в качестве обеспечения взимания Комиссионного сбора с Победителя по сделке, заключаемой в Системе 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Дата окончания подачи заявок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Дата и время окончания срока подачи Участниками Заявок на Этап Процедуры. В зависимости от Этапа Процедуры может конкретизироваться: дата и время окончания подачи заявок на </w:t>
            </w:r>
            <w:proofErr w:type="spellStart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предквалификационный</w:t>
            </w:r>
            <w:proofErr w:type="spellEnd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этап, дата и время окончания подачи заявок на переторжку и т.п.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Документация к процедуре / Документация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Комплект документов, содержащий необходимую и достаточную информацию для участия в Процедуре, в том числе о предмете Процедуры, требованиях к Участникам, условиях участия и правилах проведения Процедуры, правилах подготовки, оформления и подачи Заявок, правилах определения Победителя.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 xml:space="preserve">При использовании для описания порядка проведения конкретной Процедуры термин документация к процедуре может называться: закупочная документация, </w:t>
            </w:r>
            <w:proofErr w:type="spellStart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предквалификационная</w:t>
            </w:r>
            <w:proofErr w:type="spellEnd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документация, аукционная документация, документация по запросу предложений, и т.п.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lastRenderedPageBreak/>
              <w:t>Дополнительный пользователь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Пользователь, наделённый полномочиями по совершению действий в соответствии с предоставленными ему правами, за исключением возможности публикации Процедуры и отправки, редактирования и отзыва Заявки Участника по Процедуре</w:t>
            </w:r>
            <w:r w:rsidR="00F92CA3" w:rsidRPr="000624FE">
              <w:rPr>
                <w:rFonts w:ascii="Arial" w:hAnsi="Arial" w:cs="Arial"/>
                <w:b w:val="0"/>
                <w:sz w:val="22"/>
                <w:szCs w:val="22"/>
              </w:rPr>
              <w:t>, подачи заявки на возврат денежных средств для их вывода со счета Участника Системы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41190F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 xml:space="preserve">Рубрикатор </w:t>
            </w:r>
          </w:p>
        </w:tc>
        <w:tc>
          <w:tcPr>
            <w:tcW w:w="3628" w:type="pct"/>
            <w:hideMark/>
          </w:tcPr>
          <w:p w:rsidR="00DD58BD" w:rsidRPr="000624FE" w:rsidRDefault="00DD58BD" w:rsidP="0041190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Иерархический </w:t>
            </w:r>
            <w:r w:rsidR="0041190F" w:rsidRPr="000624FE">
              <w:rPr>
                <w:rFonts w:ascii="Arial" w:hAnsi="Arial" w:cs="Arial"/>
                <w:b w:val="0"/>
                <w:sz w:val="22"/>
                <w:szCs w:val="22"/>
              </w:rPr>
              <w:t>рубрикатор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, применяемый в Системе для систематизированного использования в процедурах всей номенклатуры закупаемой и продаваемой продукции.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Заказчик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Любое юридическое или физическое лицо, в том числе, индивидуальный предприниматель, являющееся собственником средств или их законным распорядителем, в интересах которого проводятся Процедуры Закупок.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Закрытая процедура</w:t>
            </w:r>
          </w:p>
        </w:tc>
        <w:tc>
          <w:tcPr>
            <w:tcW w:w="3628" w:type="pct"/>
            <w:hideMark/>
          </w:tcPr>
          <w:p w:rsidR="00DD58BD" w:rsidRPr="000624FE" w:rsidRDefault="00DD58BD" w:rsidP="00791A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Процедура, в которой могут принять участие только специально приглашенные Организатором Участники.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Закрытая форма подачи предложений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Параметр Процедуры, при подключении которого информация о Заявках Участников на этапе подачи Заявок доступна только самим Участникам данной процедуры. При Закрытой форме подачи предложений не предусмотрено автоматическое продление срока подачи Заявок.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Закрытая часть Системы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Часть Системы, доступная только для Участников Системы.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Запрос предложений (конкурс)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Конкурентный способ закупки, при проведении которого Организатор заранее информирует Поставщиков о потребности в Продукции, приглашает подавать Заявки; рассматривает их и определяет Победителя как лицо, соответствующее требованиям Документации и предложившее лучшие условия исполнения договора по совокупности критериев, установленных Документацией.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>По итогам Запроса предложений у Заказчика нет обязанности определять Победителя и заключать с ним договор.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Запрос цен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Конкурентный способ закупки, при проведении которого Организатор заранее информирует Поставщиков о потребности в Продукции, приглашает подавать Заявки; рассматривает их и определяет Победителя как лицо, соответствующее требованиям Документации и предложившее наиболее низкую цену договора.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>По итогам Запроса цен у Заказчика нет обязанности определять Победителя и заключать с ним договор.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Зарегистрированный Участник Системы</w:t>
            </w:r>
          </w:p>
        </w:tc>
        <w:tc>
          <w:tcPr>
            <w:tcW w:w="3628" w:type="pct"/>
            <w:hideMark/>
          </w:tcPr>
          <w:p w:rsidR="00DD58BD" w:rsidRPr="000624FE" w:rsidRDefault="00DD58BD" w:rsidP="00791A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Участник Системы, не имеющий </w:t>
            </w:r>
            <w:r w:rsidR="00791AC0">
              <w:rPr>
                <w:rFonts w:ascii="Arial" w:hAnsi="Arial" w:cs="Arial"/>
                <w:b w:val="0"/>
                <w:sz w:val="22"/>
                <w:szCs w:val="22"/>
              </w:rPr>
              <w:t xml:space="preserve">Общий  </w:t>
            </w:r>
            <w:r w:rsidR="00791AC0"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доступ к Системе.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Заявка участника / Заявка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Информация, представленная Участником процедуры в виде совокупности заполненных в интерфейсе полей и загруженных документов, содержащая предложение Участника процедуры о заключении договора на поставку(закупку) Продукции на условиях, определенных Документацией к процедуре.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Извещение о процедуре / Извещение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Совокупность заполненных Организатором в интерфейсе Системы полей и загруженных документов, содержащих информацию о Процедуре или Лотах Процедуры.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Комиссия процедуры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Коллегиальный орган, сформированный Организатором для принятия решений в рамках конкретной Процедуры.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>При использовании для описания порядка проведения конкретной Процедуры термин Комиссия процедуры может называться: закупочная комиссия, аукционная комиссия и т.п.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 xml:space="preserve">Конкурентные Процедуры / Конкурентные </w:t>
            </w:r>
            <w:r w:rsidRPr="000624FE">
              <w:rPr>
                <w:rFonts w:ascii="Arial" w:hAnsi="Arial" w:cs="Arial"/>
                <w:b/>
                <w:sz w:val="22"/>
                <w:szCs w:val="22"/>
              </w:rPr>
              <w:lastRenderedPageBreak/>
              <w:t>способы закупки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Процедуры, предусматривающие состязательность Участников.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lastRenderedPageBreak/>
              <w:t>Личный кабинет/ЛК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Элемент Закрытой части Системы, автоматизированное рабочее место Пользователя.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Лот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Часть закупаемой Продукции, явно обособленная в Документации, на которую в рамках проводимой Процедуры допускается подача отдельной Заявки и заключение отдельного договора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 xml:space="preserve">Правовой статус </w:t>
            </w:r>
            <w:proofErr w:type="spellStart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Многолотовых</w:t>
            </w:r>
            <w:proofErr w:type="spellEnd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Процедур определяется исходя из того, что такая Процедура — это несколько</w:t>
            </w:r>
            <w:r w:rsidR="00976FB8"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(по числу лотов) одновременно и параллельно проводимых Процедур, оформленных одной Документацией.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Многокритериальный способ проведения процедуры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Способ проведения Процедуры, обеспечивающий возможность Организатору использовать в качестве критериев оценки поступивших Заявок и отбора Участников формализуемые значения(параметры), характеризующие:</w:t>
            </w:r>
          </w:p>
          <w:p w:rsidR="00DD58BD" w:rsidRPr="000624FE" w:rsidRDefault="00DD58BD" w:rsidP="00392F51">
            <w:pPr>
              <w:pStyle w:val="a5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экономическую, техническую, организационную, финансовую, юридическую привлекательность предложения с точки зрения удовлетворения потребностей Заказчика;</w:t>
            </w:r>
          </w:p>
          <w:p w:rsidR="00DD58BD" w:rsidRPr="000624FE" w:rsidRDefault="00DD58BD" w:rsidP="00392F51">
            <w:pPr>
              <w:pStyle w:val="a5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надежность Участника, исходя из опыта его работы, его деловой репутации, наличию у него материально-технических, производственных, кадровых, финансовых, информационных ресурсов.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624FE">
              <w:rPr>
                <w:rFonts w:ascii="Arial" w:hAnsi="Arial" w:cs="Arial"/>
                <w:b/>
                <w:sz w:val="22"/>
                <w:szCs w:val="22"/>
              </w:rPr>
              <w:t>Многолотовый</w:t>
            </w:r>
            <w:proofErr w:type="spellEnd"/>
            <w:r w:rsidRPr="000624FE">
              <w:rPr>
                <w:rFonts w:ascii="Arial" w:hAnsi="Arial" w:cs="Arial"/>
                <w:b/>
                <w:sz w:val="22"/>
                <w:szCs w:val="22"/>
              </w:rPr>
              <w:t xml:space="preserve"> способ проведения процедуры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Способ проведения Процедуры, обеспечивающий возможность Организатору проводить Закупку многочисленными отдельными Лотами и заключать договор с Победителем(Победителями) по отдельным Лотам для получения наибольшего экономического эффекта. При этом Участники имеют возможность подачи Заявки на отдельные Лоты Процедуры.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Многоэтапная процедура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Процедура, </w:t>
            </w:r>
            <w:proofErr w:type="spellStart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проводящаяся</w:t>
            </w:r>
            <w:proofErr w:type="spellEnd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в два и более этапа.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>По результатам каждого этапа (кроме последнего) предусматривается уточнение Организатором условий Документации к процедуре (в том числе путем проведения переговоров с Участниками процедуры) и, соответственно, подача на следующий этап уточненных предложений Участников процедуры.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Начальная цена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Предельно допустимая цена договора, указанная Организатором в Извещении.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>При использовании для описания порядка проведения конкретной процедуры термин "начальная цена" может конкретизироваться: начальная цена процедуры, начальная цена лота, начальная цена позиции.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Неконкурентные процедуры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Процедуры, не предусматривающие состязательность Участников.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Оператор Системы(Компания) / Оператор</w:t>
            </w:r>
          </w:p>
        </w:tc>
        <w:tc>
          <w:tcPr>
            <w:tcW w:w="3628" w:type="pct"/>
            <w:hideMark/>
          </w:tcPr>
          <w:p w:rsidR="00EF287F" w:rsidRPr="000624FE" w:rsidRDefault="00EF287F" w:rsidP="00EF287F">
            <w:pPr>
              <w:pStyle w:val="textjustif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24FE">
              <w:rPr>
                <w:rFonts w:ascii="Arial" w:hAnsi="Arial" w:cs="Arial"/>
                <w:sz w:val="22"/>
                <w:szCs w:val="22"/>
              </w:rPr>
              <w:t>Товарищество с ограниченной ответственностью «Клиринговый центр ЕТС»</w:t>
            </w:r>
          </w:p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</w:tcPr>
          <w:p w:rsidR="009733B1" w:rsidRPr="000624FE" w:rsidRDefault="009733B1" w:rsidP="009733B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Основной доступ</w:t>
            </w:r>
          </w:p>
        </w:tc>
        <w:tc>
          <w:tcPr>
            <w:tcW w:w="3628" w:type="pct"/>
          </w:tcPr>
          <w:p w:rsidR="009733B1" w:rsidRPr="000624FE" w:rsidRDefault="009733B1" w:rsidP="009733B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Право использования расширенных функций и совершения юридически значимых действий (операций) в рамках Системы, связанных с организацией собственных торговых процедур.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D612F3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Организатор процедуры/ Организатор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Заказчик или Специализированная организация, непосредственно выполняющие действия, предусмотренные той или иной Процедурой.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 xml:space="preserve">Понятие Организатор в Системе дополняется определением по отношению к процедуре: Организатор конкурса, Организатор 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запроса цен и т.д.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lastRenderedPageBreak/>
              <w:t>Ориентировочная стоимость / Общая стоимость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Ориентировочная цена договора, указанная Организатором в Извещении.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Открытая процедура</w:t>
            </w:r>
          </w:p>
        </w:tc>
        <w:tc>
          <w:tcPr>
            <w:tcW w:w="3628" w:type="pct"/>
            <w:hideMark/>
          </w:tcPr>
          <w:p w:rsidR="00DD58BD" w:rsidRPr="000624FE" w:rsidRDefault="00DD58BD" w:rsidP="00791A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Процедура, в которой могут принять участие любые Участники.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Открытая форма подачи предложений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Параметр Процедуры, при подключении которого ценовые предложения Участников процедуры и/или иные формы Заявки, установленные Организатором, размещаются в открытом доступе для Посетителей и Участников Системы на этапе подачи Заявок, при этом наименования Участников остаются анонимными.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>При Открытой форме подачи предложений предусмотрены: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>возможность неоднократного изменения Заявки Участником(при этом действительной Заявкой считается последняя поданная Участником); автоматическое продление срока подачи Заявок в соответствии с Регламентом Системы.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Открытая часть Системы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Часть Системы, доступная для всех пользователей сети Интернет.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Переторжка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Дополнительный элемент Процедуры, заключается в добровольном повышении предпочтительности Заявок Участников Закупки в рамках специально организованного для этого этапа Процедуры путем снижения Участниками закупки цены своих первоначально поданных Заявок и, если такое предусмотрено Документацией к процедуре, путём улучшения иных условий Заявки.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  <w:t>В зависимости от Формы подачи предложений участниками на Переторжку термин может конкретизироваться: заочная переторжка(при закрытой форме подачи предложений), очная переторжка/</w:t>
            </w:r>
            <w:proofErr w:type="spellStart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on-line</w:t>
            </w:r>
            <w:proofErr w:type="spellEnd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переторжка(при открытой форме подачи предложений).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Победитель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Участник Процедуры, соответствующий требованиям Документации и предложивший наилучшие условия исполнения договора на основании критериев, установленных в конкретной Процедуре, и объявленный таковым Организатором Процедуры.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Позиция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Входящая в состав закупаемой Продукции номенклатурная единица, по которой в рамках проводимой Процедуры предусмотрена возможность подачи обособленного предложения, являющегося составной частью Заявки участника по данной Процедуре.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Покупатель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Любое юридическое или физическое лицо, в том числе индивидуальный предпринимать, способное на законных основаниях приобрести реализуемую Продукцию.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B071F6" w:rsidP="00B071F6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Общий</w:t>
            </w:r>
            <w:r w:rsidRPr="000624F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D58BD" w:rsidRPr="000624FE">
              <w:rPr>
                <w:rFonts w:ascii="Arial" w:hAnsi="Arial" w:cs="Arial"/>
                <w:b/>
                <w:sz w:val="22"/>
                <w:szCs w:val="22"/>
              </w:rPr>
              <w:t>доступ</w:t>
            </w:r>
          </w:p>
        </w:tc>
        <w:tc>
          <w:tcPr>
            <w:tcW w:w="3628" w:type="pct"/>
            <w:hideMark/>
          </w:tcPr>
          <w:p w:rsidR="00DD58BD" w:rsidRPr="000624FE" w:rsidRDefault="00DD58BD" w:rsidP="009733B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Право использования расширенных функций и совершения юридически значимых действий(операций) в рамках Системы</w:t>
            </w:r>
            <w:r w:rsidR="009733B1" w:rsidRPr="000624FE">
              <w:rPr>
                <w:rFonts w:ascii="Arial" w:hAnsi="Arial" w:cs="Arial"/>
                <w:b w:val="0"/>
                <w:sz w:val="22"/>
                <w:szCs w:val="22"/>
              </w:rPr>
              <w:t>,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9733B1"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связанных с организацией собственных торговых процедур и/или участия в торговых процедурах других Участников Системы. 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28" w:type="pct"/>
            <w:hideMark/>
          </w:tcPr>
          <w:p w:rsidR="00DD58BD" w:rsidRPr="000624FE" w:rsidRDefault="00DD58BD" w:rsidP="00B071F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Пользователь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Представитель(сотрудник) Участника Системы, наделенный надлежащими полномочиями по совершению действий в рамках Системы от имени Участника Системы.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Попозиционный способ проведения процедуры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Способ проведения Процедуры, обеспечивающий возможность Организатору проводить Закупку отдельными Позициями и заключать договоры с Победителем (Победителями) по отдельным Позициям для получения наибольшего экономического эффекта. При этом Участники имеют возможность подачи Заявки на отдельные Позиции Процедуры, если иное не предусмотрено правилами проведения 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Процедуры.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lastRenderedPageBreak/>
              <w:t>Посетитель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Любой пользователь сети Интернет, просматривающий информацию, находящуюся в Открытой части Системы.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Поставщик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Любое юридическое или физическое лицо, в том числе индивидуальный предпринимать, способное на законных основаниях поставить требуемую Продукцию. Понятие Поставщик в Системе может конкретизироваться в зависимости от предмета закупки: "поставщик товара", "подрядчик"(при закупках работ) или "исполнитель"(при закупках НИР, ОКР, ПИР и технологических работ).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Предварительный квалификационный отбор / ПКО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Дополнительный элемент Процедуры Закупки, позволяющий до подачи Заявок с технико-коммерческими предложениями осуществлять допуск Участников Процедуры в соответствии с требованиями и критериями, установленными Документацией. Дальнейшее участие в Процедуре принимают только Участники, допущенные к подаче технико-коммерческих предложений по результатам Предварительного квалификационного отбора.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Претендент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Участник Системы, проявивший интерес к Процедуре путём отправки запроса на скачивание Документации к Процедуре, а также отправки Организатору запроса разъяснений Документации.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Продукция (ТРУ)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Товары, работы, услуги, иные объекты гражданских прав.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Процедура / Процедура закупки / Закупка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Последовательность действий, осуществляемая Организатором в соответствии с установленными им правилами и Регламентом Системы, в результате которой осуществляется выбор Поставщика, с которым планируется заключение договора на поставку Продукции.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Регистрация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Действие, в результате которого юридическое или физическое лицо, в том числе, индивидуальный предприниматель, получает уникальный номер в Системе, включается в базы данных Системы и получает уникальные </w:t>
            </w:r>
            <w:proofErr w:type="spellStart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аутентификационные</w:t>
            </w:r>
            <w:proofErr w:type="spellEnd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данные для входа в Закрытую часть системы.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Регламент Системы / Регламент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Документ, регулирующий отношения по проведению Процедур в электронной форме и определяющий порядок взаимодействия Оператора Системы и Участников Системы.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Система</w:t>
            </w:r>
          </w:p>
        </w:tc>
        <w:tc>
          <w:tcPr>
            <w:tcW w:w="3628" w:type="pct"/>
            <w:hideMark/>
          </w:tcPr>
          <w:p w:rsidR="00DD58BD" w:rsidRPr="000624FE" w:rsidRDefault="00DD58BD" w:rsidP="000624F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Совокупность технических и организационных средств Оператора, включая программно-аппаратные комплексы, обеспечивающая оптимизацию взаимодействия организаций с партнерами и контрагентами, и размещенная во всемирной компьютерной сети Интернет по адресу </w:t>
            </w:r>
            <w:hyperlink r:id="rId6" w:history="1">
              <w:r w:rsidR="000624FE" w:rsidRPr="00426009">
                <w:rPr>
                  <w:rStyle w:val="a3"/>
                  <w:rFonts w:ascii="Arial" w:hAnsi="Arial" w:cs="Arial"/>
                  <w:b w:val="0"/>
                  <w:sz w:val="22"/>
                  <w:szCs w:val="22"/>
                </w:rPr>
                <w:t>http</w:t>
              </w:r>
              <w:r w:rsidR="000624FE" w:rsidRPr="00426009">
                <w:rPr>
                  <w:rStyle w:val="a3"/>
                  <w:rFonts w:ascii="Arial" w:hAnsi="Arial" w:cs="Arial"/>
                  <w:b w:val="0"/>
                  <w:sz w:val="22"/>
                  <w:szCs w:val="22"/>
                  <w:lang w:val="en-US"/>
                </w:rPr>
                <w:t>s</w:t>
              </w:r>
              <w:r w:rsidR="000624FE" w:rsidRPr="00426009">
                <w:rPr>
                  <w:rStyle w:val="a3"/>
                  <w:rFonts w:ascii="Arial" w:hAnsi="Arial" w:cs="Arial"/>
                  <w:b w:val="0"/>
                  <w:sz w:val="22"/>
                  <w:szCs w:val="22"/>
                </w:rPr>
                <w:t>://www.</w:t>
              </w:r>
            </w:hyperlink>
            <w:r w:rsidR="000624FE" w:rsidRPr="000624FE">
              <w:rPr>
                <w:rStyle w:val="a3"/>
                <w:rFonts w:ascii="Arial" w:hAnsi="Arial" w:cs="Arial"/>
                <w:b w:val="0"/>
                <w:color w:val="auto"/>
                <w:sz w:val="22"/>
                <w:szCs w:val="22"/>
                <w:lang w:val="en-US"/>
              </w:rPr>
              <w:t>ets</w:t>
            </w:r>
            <w:r w:rsidR="000624FE" w:rsidRPr="000624FE">
              <w:rPr>
                <w:rStyle w:val="a3"/>
                <w:rFonts w:ascii="Arial" w:hAnsi="Arial" w:cs="Arial"/>
                <w:b w:val="0"/>
                <w:color w:val="auto"/>
                <w:sz w:val="22"/>
                <w:szCs w:val="22"/>
              </w:rPr>
              <w:t>-</w:t>
            </w:r>
            <w:r w:rsidR="000624FE" w:rsidRPr="000624FE">
              <w:rPr>
                <w:rStyle w:val="a3"/>
                <w:rFonts w:ascii="Arial" w:hAnsi="Arial" w:cs="Arial"/>
                <w:b w:val="0"/>
                <w:color w:val="auto"/>
                <w:sz w:val="22"/>
                <w:szCs w:val="22"/>
                <w:lang w:val="en-US"/>
              </w:rPr>
              <w:t>tender</w:t>
            </w:r>
            <w:r w:rsidR="000624FE" w:rsidRPr="000624FE">
              <w:rPr>
                <w:rStyle w:val="a3"/>
                <w:rFonts w:ascii="Arial" w:hAnsi="Arial" w:cs="Arial"/>
                <w:b w:val="0"/>
                <w:color w:val="auto"/>
                <w:sz w:val="22"/>
                <w:szCs w:val="22"/>
              </w:rPr>
              <w:t>.</w:t>
            </w:r>
            <w:r w:rsidR="000624FE" w:rsidRPr="000624FE">
              <w:rPr>
                <w:rStyle w:val="a3"/>
                <w:rFonts w:ascii="Arial" w:hAnsi="Arial" w:cs="Arial"/>
                <w:b w:val="0"/>
                <w:color w:val="auto"/>
                <w:sz w:val="22"/>
                <w:szCs w:val="22"/>
                <w:lang w:val="en-US"/>
              </w:rPr>
              <w:t>kz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Специализированная организация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Участник Системы, выполняющий отдельные функции Организатора в рамках </w:t>
            </w:r>
            <w:r w:rsidRPr="0076635B">
              <w:rPr>
                <w:rFonts w:ascii="Arial" w:hAnsi="Arial" w:cs="Arial"/>
                <w:b w:val="0"/>
                <w:sz w:val="22"/>
                <w:szCs w:val="22"/>
              </w:rPr>
              <w:t>полно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мочий, переданных ему Заказчиком или Организатором Процедуры.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Способы проведения процедур на закупку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Виды закупок, отличающиеся друг от друга особенностями проведения и гражданско-правовыми последствиями.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Ставка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Предложение о цене договора, подаваемое в режиме реального времени в процессе онлайн-соревнования между участниками аукциона/</w:t>
            </w:r>
            <w:proofErr w:type="spellStart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редукциона</w:t>
            </w:r>
            <w:proofErr w:type="spellEnd"/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Стоп-лист</w:t>
            </w:r>
          </w:p>
        </w:tc>
        <w:tc>
          <w:tcPr>
            <w:tcW w:w="3628" w:type="pct"/>
            <w:hideMark/>
          </w:tcPr>
          <w:p w:rsidR="00DD58BD" w:rsidRPr="000624FE" w:rsidRDefault="00DD58BD" w:rsidP="00791A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Перечень Участников Системы, которые не имеют доступа к Системе в связи с допущенным ими нарушением Регламента Системы.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Тариф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Совокупность ценовых условий договора, определяющих стоимость услуг, методы расчетов, особенности тарификации, которые определяются Участником Системы самостоятельно в установленной форме.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Участник процедуры / Участник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Участник Системы, своевременно подавший Заявку на участие в соответствующих Процедурах.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br/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Понятие Участник Процедуры в Системе дополняется определением по отношению к Процедуре: Участник конкурса, Участник запроса цен и т.д.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lastRenderedPageBreak/>
              <w:t>Участник Системы</w:t>
            </w:r>
          </w:p>
        </w:tc>
        <w:tc>
          <w:tcPr>
            <w:tcW w:w="3628" w:type="pct"/>
            <w:hideMark/>
          </w:tcPr>
          <w:p w:rsidR="00DD58BD" w:rsidRPr="000624FE" w:rsidRDefault="00DD58BD" w:rsidP="00AE0A32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Любое юридическое или физическое лицо, в том числе, индивидуальный предприниматель, прошедшее процедуру Регистрации в Системе и имеющее право использования функций Системы в соответствии с уровнем доступа</w:t>
            </w:r>
            <w:r w:rsidR="00976FB8"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(</w:t>
            </w:r>
            <w:r w:rsidR="00AE0A32">
              <w:rPr>
                <w:rFonts w:ascii="Arial" w:hAnsi="Arial" w:cs="Arial"/>
                <w:b w:val="0"/>
                <w:sz w:val="22"/>
                <w:szCs w:val="22"/>
              </w:rPr>
              <w:t>О</w:t>
            </w:r>
            <w:r w:rsidR="00791AC0">
              <w:rPr>
                <w:rFonts w:ascii="Arial" w:hAnsi="Arial" w:cs="Arial"/>
                <w:b w:val="0"/>
                <w:sz w:val="22"/>
                <w:szCs w:val="22"/>
              </w:rPr>
              <w:t>сновной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/</w:t>
            </w:r>
            <w:r w:rsidR="00791AC0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E0A32">
              <w:rPr>
                <w:rFonts w:ascii="Arial" w:hAnsi="Arial" w:cs="Arial"/>
                <w:b w:val="0"/>
                <w:sz w:val="22"/>
                <w:szCs w:val="22"/>
              </w:rPr>
              <w:t>О</w:t>
            </w:r>
            <w:r w:rsidR="00791AC0">
              <w:rPr>
                <w:rFonts w:ascii="Arial" w:hAnsi="Arial" w:cs="Arial"/>
                <w:b w:val="0"/>
                <w:sz w:val="22"/>
                <w:szCs w:val="22"/>
              </w:rPr>
              <w:t>бщий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).</w:t>
            </w:r>
          </w:p>
        </w:tc>
      </w:tr>
      <w:tr w:rsidR="000624FE" w:rsidRPr="000624FE" w:rsidTr="0008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Электронная торговая площадка Системы/ЭТП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Программно-аппаратный комплекс, являющийся составной частью Системы и предназначенный для проведения закупок в электронной форме по упорядоченной формализованной процедуре, урегулированной Регламентом Системы.</w:t>
            </w:r>
          </w:p>
        </w:tc>
      </w:tr>
      <w:tr w:rsidR="000624FE" w:rsidRPr="000624FE" w:rsidTr="00084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pct"/>
            <w:hideMark/>
          </w:tcPr>
          <w:p w:rsidR="00DD58BD" w:rsidRPr="000624FE" w:rsidRDefault="00DD58BD" w:rsidP="00392F51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0624FE">
              <w:rPr>
                <w:rFonts w:ascii="Arial" w:hAnsi="Arial" w:cs="Arial"/>
                <w:b/>
                <w:sz w:val="22"/>
                <w:szCs w:val="22"/>
              </w:rPr>
              <w:t>Этап</w:t>
            </w:r>
          </w:p>
        </w:tc>
        <w:tc>
          <w:tcPr>
            <w:tcW w:w="3628" w:type="pct"/>
            <w:hideMark/>
          </w:tcPr>
          <w:p w:rsidR="00DD58BD" w:rsidRPr="000624FE" w:rsidRDefault="00DD58BD" w:rsidP="00392F51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Период времени, ограниченный каким-либо событием</w:t>
            </w:r>
            <w:r w:rsidR="00976FB8"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(истечением заранее определенного срока, подачей требуемых документов и т.д.), по результатам которого Организатор принимает какое-либо решение в отношении Участников Процедуры</w:t>
            </w:r>
            <w:r w:rsidR="00976FB8" w:rsidRPr="000624F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0624FE">
              <w:rPr>
                <w:rFonts w:ascii="Arial" w:hAnsi="Arial" w:cs="Arial"/>
                <w:b w:val="0"/>
                <w:sz w:val="22"/>
                <w:szCs w:val="22"/>
              </w:rPr>
              <w:t>(допустить на следующий этап, выбрать наилучшего и т.п.).</w:t>
            </w:r>
          </w:p>
        </w:tc>
      </w:tr>
    </w:tbl>
    <w:p w:rsidR="00392F51" w:rsidRPr="000624FE" w:rsidRDefault="00392F51" w:rsidP="00392F51">
      <w:pPr>
        <w:rPr>
          <w:rFonts w:ascii="Arial" w:hAnsi="Arial" w:cs="Arial"/>
          <w:b w:val="0"/>
          <w:sz w:val="22"/>
          <w:szCs w:val="22"/>
        </w:rPr>
      </w:pPr>
    </w:p>
    <w:sectPr w:rsidR="00392F51" w:rsidRPr="000624FE" w:rsidSect="003E3FD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718"/>
    <w:multiLevelType w:val="multilevel"/>
    <w:tmpl w:val="277621C8"/>
    <w:lvl w:ilvl="0">
      <w:start w:val="1"/>
      <w:numFmt w:val="decimal"/>
      <w:pStyle w:val="1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8"/>
        </w:tabs>
        <w:ind w:left="568"/>
      </w:pPr>
      <w:rPr>
        <w:rFonts w:ascii="Calibri" w:hAnsi="Calibri" w:cs="Times New Roman" w:hint="default"/>
      </w:rPr>
    </w:lvl>
    <w:lvl w:ilvl="2">
      <w:start w:val="1"/>
      <w:numFmt w:val="decimal"/>
      <w:pStyle w:val="3"/>
      <w:lvlText w:val="%1.%2.%3 "/>
      <w:lvlJc w:val="left"/>
      <w:pPr>
        <w:tabs>
          <w:tab w:val="num" w:pos="-140"/>
        </w:tabs>
        <w:ind w:left="710"/>
      </w:pPr>
      <w:rPr>
        <w:rFonts w:ascii="Calibri" w:hAnsi="Calibri" w:cs="Times New Roman" w:hint="default"/>
      </w:rPr>
    </w:lvl>
    <w:lvl w:ilvl="3">
      <w:start w:val="1"/>
      <w:numFmt w:val="decimal"/>
      <w:pStyle w:val="4"/>
      <w:lvlText w:val="%1.%2.%3.%4 "/>
      <w:lvlJc w:val="left"/>
      <w:pPr>
        <w:tabs>
          <w:tab w:val="num" w:pos="0"/>
        </w:tabs>
        <w:ind w:firstLine="851"/>
      </w:pPr>
      <w:rPr>
        <w:rFonts w:ascii="Calibri" w:hAnsi="Calibri" w:cs="Times New Roman" w:hint="default"/>
      </w:rPr>
    </w:lvl>
    <w:lvl w:ilvl="4">
      <w:start w:val="1"/>
      <w:numFmt w:val="decimal"/>
      <w:pStyle w:val="5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1">
    <w:nsid w:val="4061115B"/>
    <w:multiLevelType w:val="multilevel"/>
    <w:tmpl w:val="0D9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BD"/>
    <w:rsid w:val="000624FE"/>
    <w:rsid w:val="00084775"/>
    <w:rsid w:val="00177B8C"/>
    <w:rsid w:val="001B58D4"/>
    <w:rsid w:val="001E4FDF"/>
    <w:rsid w:val="002C6F07"/>
    <w:rsid w:val="00351D0C"/>
    <w:rsid w:val="00392F51"/>
    <w:rsid w:val="003E3FD6"/>
    <w:rsid w:val="0041190F"/>
    <w:rsid w:val="004758D8"/>
    <w:rsid w:val="00564F49"/>
    <w:rsid w:val="0069402B"/>
    <w:rsid w:val="0076635B"/>
    <w:rsid w:val="00791AC0"/>
    <w:rsid w:val="007E2425"/>
    <w:rsid w:val="009733B1"/>
    <w:rsid w:val="00976FB8"/>
    <w:rsid w:val="009B7D8A"/>
    <w:rsid w:val="00A071AB"/>
    <w:rsid w:val="00A61804"/>
    <w:rsid w:val="00A75C35"/>
    <w:rsid w:val="00AD33A6"/>
    <w:rsid w:val="00AE0A32"/>
    <w:rsid w:val="00B071F6"/>
    <w:rsid w:val="00B5485D"/>
    <w:rsid w:val="00D612F3"/>
    <w:rsid w:val="00D712A3"/>
    <w:rsid w:val="00D9306F"/>
    <w:rsid w:val="00DD58BD"/>
    <w:rsid w:val="00E01593"/>
    <w:rsid w:val="00EC12C2"/>
    <w:rsid w:val="00ED0253"/>
    <w:rsid w:val="00EF287F"/>
    <w:rsid w:val="00F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C6F07"/>
    <w:pPr>
      <w:spacing w:after="0" w:line="240" w:lineRule="auto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D58BD"/>
    <w:pPr>
      <w:keepNext/>
      <w:keepLines/>
      <w:numPr>
        <w:numId w:val="1"/>
      </w:numPr>
      <w:tabs>
        <w:tab w:val="left" w:pos="1"/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 w:after="60"/>
      <w:jc w:val="center"/>
      <w:outlineLvl w:val="0"/>
    </w:pPr>
    <w:rPr>
      <w:b w:val="0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rsid w:val="00DD58BD"/>
    <w:pPr>
      <w:keepNext/>
      <w:keepLines/>
      <w:numPr>
        <w:ilvl w:val="1"/>
        <w:numId w:val="1"/>
      </w:numPr>
      <w:tabs>
        <w:tab w:val="left" w:pos="284"/>
        <w:tab w:val="left" w:pos="1418"/>
        <w:tab w:val="left" w:pos="1701"/>
        <w:tab w:val="left" w:pos="1985"/>
      </w:tabs>
      <w:suppressAutoHyphens/>
      <w:spacing w:before="240"/>
      <w:outlineLvl w:val="1"/>
    </w:pPr>
    <w:rPr>
      <w:rFonts w:eastAsia="Arial Unicode MS"/>
      <w:b w:val="0"/>
      <w:sz w:val="28"/>
      <w:szCs w:val="44"/>
    </w:rPr>
  </w:style>
  <w:style w:type="paragraph" w:styleId="3">
    <w:name w:val="heading 3"/>
    <w:basedOn w:val="a"/>
    <w:next w:val="a"/>
    <w:link w:val="30"/>
    <w:uiPriority w:val="99"/>
    <w:qFormat/>
    <w:rsid w:val="00DD58BD"/>
    <w:pPr>
      <w:keepNext/>
      <w:keepLines/>
      <w:numPr>
        <w:ilvl w:val="2"/>
        <w:numId w:val="1"/>
      </w:numP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/>
      <w:outlineLvl w:val="2"/>
    </w:pPr>
    <w:rPr>
      <w:b w:val="0"/>
      <w:sz w:val="28"/>
      <w:szCs w:val="38"/>
    </w:rPr>
  </w:style>
  <w:style w:type="paragraph" w:styleId="4">
    <w:name w:val="heading 4"/>
    <w:basedOn w:val="a"/>
    <w:next w:val="a"/>
    <w:link w:val="40"/>
    <w:uiPriority w:val="99"/>
    <w:qFormat/>
    <w:rsid w:val="00DD58BD"/>
    <w:pPr>
      <w:keepNext/>
      <w:keepLines/>
      <w:numPr>
        <w:ilvl w:val="3"/>
        <w:numId w:val="1"/>
      </w:numPr>
      <w:tabs>
        <w:tab w:val="clear" w:pos="0"/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/>
      <w:ind w:left="1"/>
      <w:outlineLvl w:val="3"/>
    </w:pPr>
    <w:rPr>
      <w:b w:val="0"/>
      <w:sz w:val="26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D58BD"/>
    <w:pPr>
      <w:keepNext/>
      <w:keepLines/>
      <w:numPr>
        <w:ilvl w:val="4"/>
        <w:numId w:val="1"/>
      </w:numPr>
      <w:tabs>
        <w:tab w:val="clear" w:pos="589"/>
        <w:tab w:val="left" w:pos="1"/>
        <w:tab w:val="left" w:pos="284"/>
        <w:tab w:val="left" w:pos="851"/>
        <w:tab w:val="left" w:pos="1418"/>
        <w:tab w:val="left" w:pos="1701"/>
        <w:tab w:val="left" w:pos="1985"/>
      </w:tabs>
      <w:suppressAutoHyphens/>
      <w:spacing w:before="240"/>
      <w:outlineLvl w:val="4"/>
    </w:pPr>
    <w:rPr>
      <w:rFonts w:ascii="Times New Roman" w:hAnsi="Times New Roman"/>
      <w:b w:val="0"/>
      <w:i/>
      <w:sz w:val="26"/>
      <w:szCs w:val="28"/>
    </w:rPr>
  </w:style>
  <w:style w:type="paragraph" w:styleId="6">
    <w:name w:val="heading 6"/>
    <w:basedOn w:val="a"/>
    <w:next w:val="a"/>
    <w:link w:val="60"/>
    <w:autoRedefine/>
    <w:uiPriority w:val="99"/>
    <w:qFormat/>
    <w:rsid w:val="00DD58BD"/>
    <w:pPr>
      <w:keepNext/>
      <w:keepLines/>
      <w:numPr>
        <w:ilvl w:val="5"/>
        <w:numId w:val="1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240"/>
      <w:outlineLvl w:val="5"/>
    </w:pPr>
    <w:rPr>
      <w:b w:val="0"/>
      <w:sz w:val="26"/>
      <w:szCs w:val="22"/>
    </w:rPr>
  </w:style>
  <w:style w:type="paragraph" w:styleId="7">
    <w:name w:val="heading 7"/>
    <w:basedOn w:val="a"/>
    <w:next w:val="a"/>
    <w:link w:val="70"/>
    <w:uiPriority w:val="99"/>
    <w:qFormat/>
    <w:rsid w:val="00DD58BD"/>
    <w:pPr>
      <w:keepNext/>
      <w:keepLines/>
      <w:numPr>
        <w:ilvl w:val="6"/>
        <w:numId w:val="1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outlineLvl w:val="6"/>
    </w:pPr>
    <w:rPr>
      <w:rFonts w:ascii="Arial" w:hAnsi="Arial"/>
      <w:b w:val="0"/>
      <w:i/>
      <w:szCs w:val="22"/>
    </w:rPr>
  </w:style>
  <w:style w:type="paragraph" w:styleId="8">
    <w:name w:val="heading 8"/>
    <w:basedOn w:val="a"/>
    <w:next w:val="a"/>
    <w:link w:val="80"/>
    <w:uiPriority w:val="99"/>
    <w:qFormat/>
    <w:rsid w:val="00DD58BD"/>
    <w:pPr>
      <w:keepNext/>
      <w:keepLines/>
      <w:numPr>
        <w:ilvl w:val="7"/>
        <w:numId w:val="1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outlineLvl w:val="7"/>
    </w:pPr>
    <w:rPr>
      <w:rFonts w:ascii="Arial" w:hAnsi="Arial"/>
      <w:b w:val="0"/>
      <w:szCs w:val="22"/>
    </w:rPr>
  </w:style>
  <w:style w:type="paragraph" w:styleId="9">
    <w:name w:val="heading 9"/>
    <w:basedOn w:val="a"/>
    <w:next w:val="a"/>
    <w:link w:val="90"/>
    <w:uiPriority w:val="99"/>
    <w:qFormat/>
    <w:rsid w:val="00DD58BD"/>
    <w:pPr>
      <w:keepNext/>
      <w:keepLines/>
      <w:numPr>
        <w:ilvl w:val="8"/>
        <w:numId w:val="1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outlineLvl w:val="8"/>
    </w:pPr>
    <w:rPr>
      <w:rFonts w:ascii="Arial" w:hAnsi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D58BD"/>
    <w:rPr>
      <w:rFonts w:ascii="Calibri" w:eastAsia="Times New Roman" w:hAnsi="Calibri" w:cs="Times New Roman"/>
      <w:b/>
      <w:sz w:val="32"/>
      <w:szCs w:val="4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D58BD"/>
    <w:rPr>
      <w:rFonts w:ascii="Calibri" w:eastAsia="Arial Unicode MS" w:hAnsi="Calibri" w:cs="Times New Roman"/>
      <w:b/>
      <w:sz w:val="28"/>
      <w:szCs w:val="4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D58BD"/>
    <w:rPr>
      <w:rFonts w:ascii="Calibri" w:eastAsia="Times New Roman" w:hAnsi="Calibri" w:cs="Times New Roman"/>
      <w:b/>
      <w:sz w:val="28"/>
      <w:szCs w:val="3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DD58BD"/>
    <w:rPr>
      <w:rFonts w:ascii="Calibri" w:eastAsia="Times New Roman" w:hAnsi="Calibri" w:cs="Times New Roman"/>
      <w:b/>
      <w:sz w:val="26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DD58BD"/>
    <w:rPr>
      <w:rFonts w:ascii="Times New Roman" w:eastAsia="Times New Roman" w:hAnsi="Times New Roman" w:cs="Times New Roman"/>
      <w:b/>
      <w:i/>
      <w:sz w:val="26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DD58BD"/>
    <w:rPr>
      <w:rFonts w:ascii="Calibri" w:eastAsia="Times New Roman" w:hAnsi="Calibri" w:cs="Times New Roman"/>
      <w:b/>
      <w:sz w:val="26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DD58BD"/>
    <w:rPr>
      <w:rFonts w:ascii="Arial" w:eastAsia="Times New Roman" w:hAnsi="Arial" w:cs="Times New Roman"/>
      <w:b/>
      <w:i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DD58BD"/>
    <w:rPr>
      <w:rFonts w:ascii="Arial" w:eastAsia="Times New Roman" w:hAnsi="Arial" w:cs="Times New Roman"/>
      <w:b/>
      <w:sz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DD58BD"/>
    <w:rPr>
      <w:rFonts w:ascii="Arial" w:eastAsia="Times New Roman" w:hAnsi="Arial" w:cs="Times New Roman"/>
      <w:sz w:val="24"/>
      <w:lang w:eastAsia="ru-RU"/>
    </w:rPr>
  </w:style>
  <w:style w:type="character" w:styleId="a3">
    <w:name w:val="Hyperlink"/>
    <w:uiPriority w:val="99"/>
    <w:rsid w:val="00DD58BD"/>
    <w:rPr>
      <w:rFonts w:ascii="Calibri" w:hAnsi="Calibri" w:cs="Times New Roman"/>
      <w:color w:val="0000FF"/>
      <w:u w:val="single"/>
    </w:rPr>
  </w:style>
  <w:style w:type="paragraph" w:styleId="a4">
    <w:name w:val="Normal (Web)"/>
    <w:basedOn w:val="a"/>
    <w:uiPriority w:val="99"/>
    <w:rsid w:val="00DD58BD"/>
    <w:pPr>
      <w:spacing w:before="100" w:beforeAutospacing="1" w:after="100" w:afterAutospacing="1"/>
    </w:pPr>
  </w:style>
  <w:style w:type="table" w:customStyle="1" w:styleId="21">
    <w:name w:val="Таблица простая 21"/>
    <w:basedOn w:val="a1"/>
    <w:uiPriority w:val="42"/>
    <w:rsid w:val="00DD5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392F51"/>
    <w:pPr>
      <w:ind w:left="720"/>
      <w:contextualSpacing/>
    </w:pPr>
  </w:style>
  <w:style w:type="paragraph" w:customStyle="1" w:styleId="a6">
    <w:name w:val="Базовый заголовок"/>
    <w:basedOn w:val="a"/>
    <w:next w:val="a"/>
    <w:uiPriority w:val="99"/>
    <w:rsid w:val="00A61804"/>
    <w:pPr>
      <w:keepNext/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ind w:left="1"/>
      <w:jc w:val="both"/>
    </w:pPr>
    <w:rPr>
      <w:rFonts w:ascii="Arial" w:hAnsi="Arial"/>
      <w:bCs w:val="0"/>
      <w:szCs w:val="22"/>
    </w:rPr>
  </w:style>
  <w:style w:type="paragraph" w:customStyle="1" w:styleId="textjustify">
    <w:name w:val="text_justify"/>
    <w:basedOn w:val="a"/>
    <w:rsid w:val="00EF287F"/>
    <w:pPr>
      <w:jc w:val="both"/>
    </w:pPr>
    <w:rPr>
      <w:rFonts w:ascii="Times New Roman" w:eastAsiaTheme="minorEastAsia" w:hAnsi="Times New Roman"/>
      <w:b w:val="0"/>
      <w:bCs w:val="0"/>
    </w:rPr>
  </w:style>
  <w:style w:type="paragraph" w:styleId="a7">
    <w:name w:val="Balloon Text"/>
    <w:basedOn w:val="a"/>
    <w:link w:val="a8"/>
    <w:uiPriority w:val="99"/>
    <w:semiHidden/>
    <w:unhideWhenUsed/>
    <w:rsid w:val="00B071F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71F6"/>
    <w:rPr>
      <w:rFonts w:ascii="Tahoma" w:eastAsia="Times New Roman" w:hAnsi="Tahoma" w:cs="Tahoma"/>
      <w:b/>
      <w:bCs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C6F07"/>
    <w:pPr>
      <w:spacing w:after="0" w:line="240" w:lineRule="auto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D58BD"/>
    <w:pPr>
      <w:keepNext/>
      <w:keepLines/>
      <w:numPr>
        <w:numId w:val="1"/>
      </w:numPr>
      <w:tabs>
        <w:tab w:val="left" w:pos="1"/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 w:after="60"/>
      <w:jc w:val="center"/>
      <w:outlineLvl w:val="0"/>
    </w:pPr>
    <w:rPr>
      <w:b w:val="0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rsid w:val="00DD58BD"/>
    <w:pPr>
      <w:keepNext/>
      <w:keepLines/>
      <w:numPr>
        <w:ilvl w:val="1"/>
        <w:numId w:val="1"/>
      </w:numPr>
      <w:tabs>
        <w:tab w:val="left" w:pos="284"/>
        <w:tab w:val="left" w:pos="1418"/>
        <w:tab w:val="left" w:pos="1701"/>
        <w:tab w:val="left" w:pos="1985"/>
      </w:tabs>
      <w:suppressAutoHyphens/>
      <w:spacing w:before="240"/>
      <w:outlineLvl w:val="1"/>
    </w:pPr>
    <w:rPr>
      <w:rFonts w:eastAsia="Arial Unicode MS"/>
      <w:b w:val="0"/>
      <w:sz w:val="28"/>
      <w:szCs w:val="44"/>
    </w:rPr>
  </w:style>
  <w:style w:type="paragraph" w:styleId="3">
    <w:name w:val="heading 3"/>
    <w:basedOn w:val="a"/>
    <w:next w:val="a"/>
    <w:link w:val="30"/>
    <w:uiPriority w:val="99"/>
    <w:qFormat/>
    <w:rsid w:val="00DD58BD"/>
    <w:pPr>
      <w:keepNext/>
      <w:keepLines/>
      <w:numPr>
        <w:ilvl w:val="2"/>
        <w:numId w:val="1"/>
      </w:numP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/>
      <w:outlineLvl w:val="2"/>
    </w:pPr>
    <w:rPr>
      <w:b w:val="0"/>
      <w:sz w:val="28"/>
      <w:szCs w:val="38"/>
    </w:rPr>
  </w:style>
  <w:style w:type="paragraph" w:styleId="4">
    <w:name w:val="heading 4"/>
    <w:basedOn w:val="a"/>
    <w:next w:val="a"/>
    <w:link w:val="40"/>
    <w:uiPriority w:val="99"/>
    <w:qFormat/>
    <w:rsid w:val="00DD58BD"/>
    <w:pPr>
      <w:keepNext/>
      <w:keepLines/>
      <w:numPr>
        <w:ilvl w:val="3"/>
        <w:numId w:val="1"/>
      </w:numPr>
      <w:tabs>
        <w:tab w:val="clear" w:pos="0"/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/>
      <w:ind w:left="1"/>
      <w:outlineLvl w:val="3"/>
    </w:pPr>
    <w:rPr>
      <w:b w:val="0"/>
      <w:sz w:val="26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D58BD"/>
    <w:pPr>
      <w:keepNext/>
      <w:keepLines/>
      <w:numPr>
        <w:ilvl w:val="4"/>
        <w:numId w:val="1"/>
      </w:numPr>
      <w:tabs>
        <w:tab w:val="clear" w:pos="589"/>
        <w:tab w:val="left" w:pos="1"/>
        <w:tab w:val="left" w:pos="284"/>
        <w:tab w:val="left" w:pos="851"/>
        <w:tab w:val="left" w:pos="1418"/>
        <w:tab w:val="left" w:pos="1701"/>
        <w:tab w:val="left" w:pos="1985"/>
      </w:tabs>
      <w:suppressAutoHyphens/>
      <w:spacing w:before="240"/>
      <w:outlineLvl w:val="4"/>
    </w:pPr>
    <w:rPr>
      <w:rFonts w:ascii="Times New Roman" w:hAnsi="Times New Roman"/>
      <w:b w:val="0"/>
      <w:i/>
      <w:sz w:val="26"/>
      <w:szCs w:val="28"/>
    </w:rPr>
  </w:style>
  <w:style w:type="paragraph" w:styleId="6">
    <w:name w:val="heading 6"/>
    <w:basedOn w:val="a"/>
    <w:next w:val="a"/>
    <w:link w:val="60"/>
    <w:autoRedefine/>
    <w:uiPriority w:val="99"/>
    <w:qFormat/>
    <w:rsid w:val="00DD58BD"/>
    <w:pPr>
      <w:keepNext/>
      <w:keepLines/>
      <w:numPr>
        <w:ilvl w:val="5"/>
        <w:numId w:val="1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240"/>
      <w:outlineLvl w:val="5"/>
    </w:pPr>
    <w:rPr>
      <w:b w:val="0"/>
      <w:sz w:val="26"/>
      <w:szCs w:val="22"/>
    </w:rPr>
  </w:style>
  <w:style w:type="paragraph" w:styleId="7">
    <w:name w:val="heading 7"/>
    <w:basedOn w:val="a"/>
    <w:next w:val="a"/>
    <w:link w:val="70"/>
    <w:uiPriority w:val="99"/>
    <w:qFormat/>
    <w:rsid w:val="00DD58BD"/>
    <w:pPr>
      <w:keepNext/>
      <w:keepLines/>
      <w:numPr>
        <w:ilvl w:val="6"/>
        <w:numId w:val="1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outlineLvl w:val="6"/>
    </w:pPr>
    <w:rPr>
      <w:rFonts w:ascii="Arial" w:hAnsi="Arial"/>
      <w:b w:val="0"/>
      <w:i/>
      <w:szCs w:val="22"/>
    </w:rPr>
  </w:style>
  <w:style w:type="paragraph" w:styleId="8">
    <w:name w:val="heading 8"/>
    <w:basedOn w:val="a"/>
    <w:next w:val="a"/>
    <w:link w:val="80"/>
    <w:uiPriority w:val="99"/>
    <w:qFormat/>
    <w:rsid w:val="00DD58BD"/>
    <w:pPr>
      <w:keepNext/>
      <w:keepLines/>
      <w:numPr>
        <w:ilvl w:val="7"/>
        <w:numId w:val="1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outlineLvl w:val="7"/>
    </w:pPr>
    <w:rPr>
      <w:rFonts w:ascii="Arial" w:hAnsi="Arial"/>
      <w:b w:val="0"/>
      <w:szCs w:val="22"/>
    </w:rPr>
  </w:style>
  <w:style w:type="paragraph" w:styleId="9">
    <w:name w:val="heading 9"/>
    <w:basedOn w:val="a"/>
    <w:next w:val="a"/>
    <w:link w:val="90"/>
    <w:uiPriority w:val="99"/>
    <w:qFormat/>
    <w:rsid w:val="00DD58BD"/>
    <w:pPr>
      <w:keepNext/>
      <w:keepLines/>
      <w:numPr>
        <w:ilvl w:val="8"/>
        <w:numId w:val="1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outlineLvl w:val="8"/>
    </w:pPr>
    <w:rPr>
      <w:rFonts w:ascii="Arial" w:hAnsi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D58BD"/>
    <w:rPr>
      <w:rFonts w:ascii="Calibri" w:eastAsia="Times New Roman" w:hAnsi="Calibri" w:cs="Times New Roman"/>
      <w:b/>
      <w:sz w:val="32"/>
      <w:szCs w:val="4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D58BD"/>
    <w:rPr>
      <w:rFonts w:ascii="Calibri" w:eastAsia="Arial Unicode MS" w:hAnsi="Calibri" w:cs="Times New Roman"/>
      <w:b/>
      <w:sz w:val="28"/>
      <w:szCs w:val="4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D58BD"/>
    <w:rPr>
      <w:rFonts w:ascii="Calibri" w:eastAsia="Times New Roman" w:hAnsi="Calibri" w:cs="Times New Roman"/>
      <w:b/>
      <w:sz w:val="28"/>
      <w:szCs w:val="3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DD58BD"/>
    <w:rPr>
      <w:rFonts w:ascii="Calibri" w:eastAsia="Times New Roman" w:hAnsi="Calibri" w:cs="Times New Roman"/>
      <w:b/>
      <w:sz w:val="26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DD58BD"/>
    <w:rPr>
      <w:rFonts w:ascii="Times New Roman" w:eastAsia="Times New Roman" w:hAnsi="Times New Roman" w:cs="Times New Roman"/>
      <w:b/>
      <w:i/>
      <w:sz w:val="26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DD58BD"/>
    <w:rPr>
      <w:rFonts w:ascii="Calibri" w:eastAsia="Times New Roman" w:hAnsi="Calibri" w:cs="Times New Roman"/>
      <w:b/>
      <w:sz w:val="26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DD58BD"/>
    <w:rPr>
      <w:rFonts w:ascii="Arial" w:eastAsia="Times New Roman" w:hAnsi="Arial" w:cs="Times New Roman"/>
      <w:b/>
      <w:i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DD58BD"/>
    <w:rPr>
      <w:rFonts w:ascii="Arial" w:eastAsia="Times New Roman" w:hAnsi="Arial" w:cs="Times New Roman"/>
      <w:b/>
      <w:sz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DD58BD"/>
    <w:rPr>
      <w:rFonts w:ascii="Arial" w:eastAsia="Times New Roman" w:hAnsi="Arial" w:cs="Times New Roman"/>
      <w:sz w:val="24"/>
      <w:lang w:eastAsia="ru-RU"/>
    </w:rPr>
  </w:style>
  <w:style w:type="character" w:styleId="a3">
    <w:name w:val="Hyperlink"/>
    <w:uiPriority w:val="99"/>
    <w:rsid w:val="00DD58BD"/>
    <w:rPr>
      <w:rFonts w:ascii="Calibri" w:hAnsi="Calibri" w:cs="Times New Roman"/>
      <w:color w:val="0000FF"/>
      <w:u w:val="single"/>
    </w:rPr>
  </w:style>
  <w:style w:type="paragraph" w:styleId="a4">
    <w:name w:val="Normal (Web)"/>
    <w:basedOn w:val="a"/>
    <w:uiPriority w:val="99"/>
    <w:rsid w:val="00DD58BD"/>
    <w:pPr>
      <w:spacing w:before="100" w:beforeAutospacing="1" w:after="100" w:afterAutospacing="1"/>
    </w:pPr>
  </w:style>
  <w:style w:type="table" w:customStyle="1" w:styleId="21">
    <w:name w:val="Таблица простая 21"/>
    <w:basedOn w:val="a1"/>
    <w:uiPriority w:val="42"/>
    <w:rsid w:val="00DD5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392F51"/>
    <w:pPr>
      <w:ind w:left="720"/>
      <w:contextualSpacing/>
    </w:pPr>
  </w:style>
  <w:style w:type="paragraph" w:customStyle="1" w:styleId="a6">
    <w:name w:val="Базовый заголовок"/>
    <w:basedOn w:val="a"/>
    <w:next w:val="a"/>
    <w:uiPriority w:val="99"/>
    <w:rsid w:val="00A61804"/>
    <w:pPr>
      <w:keepNext/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ind w:left="1"/>
      <w:jc w:val="both"/>
    </w:pPr>
    <w:rPr>
      <w:rFonts w:ascii="Arial" w:hAnsi="Arial"/>
      <w:bCs w:val="0"/>
      <w:szCs w:val="22"/>
    </w:rPr>
  </w:style>
  <w:style w:type="paragraph" w:customStyle="1" w:styleId="textjustify">
    <w:name w:val="text_justify"/>
    <w:basedOn w:val="a"/>
    <w:rsid w:val="00EF287F"/>
    <w:pPr>
      <w:jc w:val="both"/>
    </w:pPr>
    <w:rPr>
      <w:rFonts w:ascii="Times New Roman" w:eastAsiaTheme="minorEastAsia" w:hAnsi="Times New Roman"/>
      <w:b w:val="0"/>
      <w:bCs w:val="0"/>
    </w:rPr>
  </w:style>
  <w:style w:type="paragraph" w:styleId="a7">
    <w:name w:val="Balloon Text"/>
    <w:basedOn w:val="a"/>
    <w:link w:val="a8"/>
    <w:uiPriority w:val="99"/>
    <w:semiHidden/>
    <w:unhideWhenUsed/>
    <w:rsid w:val="00B071F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71F6"/>
    <w:rPr>
      <w:rFonts w:ascii="Tahoma" w:eastAsia="Times New Roman" w:hAnsi="Tahoma" w:cs="Tahoma"/>
      <w:b/>
      <w:bCs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2302</Words>
  <Characters>13124</Characters>
  <Application>Microsoft Office Word</Application>
  <DocSecurity>4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Economy Development Center</Company>
  <LinksUpToDate>false</LinksUpToDate>
  <CharactersWithSpaces>15396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Новикова Елена Владимировна</dc:creator>
  <cp:lastModifiedBy>U Айман Нургали</cp:lastModifiedBy>
  <cp:revision>2</cp:revision>
  <dcterms:created xsi:type="dcterms:W3CDTF">2017-07-05T10:50:00Z</dcterms:created>
  <dcterms:modified xsi:type="dcterms:W3CDTF">2017-07-05T10:50:00Z</dcterms:modified>
</cp:coreProperties>
</file>