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9C58" w14:textId="77777777" w:rsidR="00564C6C" w:rsidRDefault="00000000">
      <w:pPr>
        <w:spacing w:after="80"/>
      </w:pPr>
      <w:r>
        <w:rPr>
          <w:rFonts w:ascii="Arial" w:hAnsi="Arial"/>
          <w:b/>
          <w:color w:val="1E3A8A"/>
          <w:sz w:val="36"/>
        </w:rPr>
        <w:t>4. Adopsi Lisensi (License Adoption)</w:t>
      </w:r>
    </w:p>
    <w:p w14:paraId="0B2BB224" w14:textId="77777777" w:rsidR="00564C6C" w:rsidRDefault="00000000">
      <w:pPr>
        <w:spacing w:after="280"/>
      </w:pPr>
      <w:r>
        <w:rPr>
          <w:rFonts w:ascii="Calibri" w:hAnsi="Calibri"/>
          <w:i/>
          <w:color w:val="64748B"/>
        </w:rPr>
        <w:t>Rincian Kebijakan Lisensi, Kompatibilitas Hukum, dan Rencana Distribusi</w:t>
      </w:r>
    </w:p>
    <w:p w14:paraId="265DBE36" w14:textId="23019A66" w:rsidR="00564C6C" w:rsidRDefault="00000000">
      <w:pPr>
        <w:spacing w:after="80"/>
      </w:pPr>
      <w:r>
        <w:rPr>
          <w:rFonts w:ascii="Calibri" w:hAnsi="Calibri"/>
          <w:color w:val="334155"/>
          <w:sz w:val="21"/>
        </w:rPr>
        <w:t>Dokumen ini menjelaskan strategi dan rincian adopsi lisensi perangkat lunak untuk sistem PreHub, mencakup kode sumber internal, ketergantungan pustaka pihak ketiga</w:t>
      </w:r>
      <w:r w:rsidR="00375BE7">
        <w:rPr>
          <w:rFonts w:ascii="Calibri" w:hAnsi="Calibri"/>
          <w:color w:val="334155"/>
          <w:sz w:val="21"/>
        </w:rPr>
        <w:t xml:space="preserve">, </w:t>
      </w:r>
      <w:r>
        <w:rPr>
          <w:rFonts w:ascii="Calibri" w:hAnsi="Calibri"/>
          <w:color w:val="334155"/>
          <w:sz w:val="21"/>
        </w:rPr>
        <w:t>serta kepatuhan hukum terkait redistribusi dan komersialisasi.</w:t>
      </w:r>
    </w:p>
    <w:p w14:paraId="7556DAC1" w14:textId="77777777" w:rsidR="00564C6C" w:rsidRDefault="00000000"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1. Lisensi Perangkat Lunak Internal PreHub</w:t>
      </w:r>
    </w:p>
    <w:p w14:paraId="201326B6" w14:textId="0D6FD6B5" w:rsidR="00564C6C" w:rsidRDefault="00000000">
      <w:pPr>
        <w:spacing w:after="80"/>
      </w:pPr>
      <w:r>
        <w:rPr>
          <w:rFonts w:ascii="Calibri" w:hAnsi="Calibri"/>
          <w:color w:val="334155"/>
          <w:sz w:val="21"/>
        </w:rPr>
        <w:t>mengadopsi model lisensi terbuka permisif: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564C6C" w14:paraId="14795B19" w14:textId="77777777">
        <w:trPr>
          <w:jc w:val="center"/>
        </w:trPr>
        <w:tc>
          <w:tcPr>
            <w:tcW w:w="9648" w:type="dxa"/>
            <w:tcBorders>
              <w:top w:val="single" w:sz="4" w:space="0" w:color="E2E8F0"/>
              <w:left w:val="single" w:sz="18" w:space="0" w:color="0284C7"/>
              <w:bottom w:val="single" w:sz="4" w:space="0" w:color="E2E8F0"/>
              <w:right w:val="single" w:sz="4" w:space="0" w:color="E2E8F0"/>
            </w:tcBorders>
            <w:shd w:val="clear" w:color="auto" w:fill="F0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0CCB1" w14:textId="687FE48D" w:rsidR="00564C6C" w:rsidRDefault="00000000">
            <w:pPr>
              <w:spacing w:after="40"/>
            </w:pPr>
            <w:r>
              <w:rPr>
                <w:rFonts w:ascii="Arial" w:hAnsi="Arial"/>
                <w:b/>
                <w:color w:val="0284C7"/>
                <w:sz w:val="20"/>
              </w:rPr>
              <w:t>📌 Adopsi Lisensi Utama: MIT License</w:t>
            </w:r>
            <w:r>
              <w:rPr>
                <w:rFonts w:ascii="Arial" w:hAnsi="Arial"/>
                <w:b/>
                <w:color w:val="0284C7"/>
                <w:sz w:val="20"/>
              </w:rPr>
              <w:br/>
            </w:r>
            <w:r>
              <w:rPr>
                <w:rFonts w:ascii="Calibri" w:hAnsi="Calibri"/>
                <w:color w:val="334155"/>
                <w:sz w:val="20"/>
              </w:rPr>
              <w:t>Copyright (c) 2026 Tim Pengembang PreHub</w:t>
            </w:r>
            <w:r>
              <w:rPr>
                <w:rFonts w:ascii="Calibri" w:hAnsi="Calibri"/>
                <w:color w:val="334155"/>
                <w:sz w:val="20"/>
              </w:rPr>
              <w:br/>
            </w:r>
            <w:r>
              <w:rPr>
                <w:rFonts w:ascii="Calibri" w:hAnsi="Calibri"/>
                <w:color w:val="334155"/>
                <w:sz w:val="20"/>
              </w:rPr>
              <w:br/>
              <w:t>Hak cipta dilindungi. Pengguna diberikan izin bebas tanpa royalti untuk menggunakan, menyalin, memodifikasi, menggabungkan, mempublikasikan, mendistribusikan, dan/atau menjual salinan perangkat lunak ini sesuai ketentuan MIT License.</w:t>
            </w:r>
          </w:p>
        </w:tc>
      </w:tr>
    </w:tbl>
    <w:p w14:paraId="0EA89BC9" w14:textId="77777777" w:rsidR="00564C6C" w:rsidRDefault="00564C6C">
      <w:pPr>
        <w:spacing w:after="80"/>
      </w:pPr>
    </w:p>
    <w:p w14:paraId="756D2F5B" w14:textId="77777777" w:rsidR="00564C6C" w:rsidRDefault="00000000"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2. Analisis Adopsi Lisensi Pustaka Pihak Ketiga</w:t>
      </w:r>
    </w:p>
    <w:p w14:paraId="78BE9EE1" w14:textId="77777777" w:rsidR="00564C6C" w:rsidRDefault="00000000">
      <w:pPr>
        <w:spacing w:after="80"/>
      </w:pPr>
      <w:r>
        <w:rPr>
          <w:rFonts w:ascii="Calibri" w:hAnsi="Calibri"/>
          <w:color w:val="334155"/>
          <w:sz w:val="21"/>
        </w:rPr>
        <w:t>Semua pustaka dan komponen yang diintegrasikan ke dalam PreHub telah diverifikasi kesesuaian lisensinya agar tidak menimbulkan kontradiksi hukum:</w:t>
      </w:r>
    </w:p>
    <w:p w14:paraId="43E22270" w14:textId="77777777" w:rsidR="00564C6C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Lisensi MIT &amp; ISC (Permisif): </w:t>
      </w:r>
      <w:r>
        <w:rPr>
          <w:rFonts w:ascii="Calibri" w:hAnsi="Calibri"/>
          <w:color w:val="334155"/>
          <w:sz w:val="20"/>
        </w:rPr>
        <w:t>Pustaka seperti Next.js, React, FastAPI, LangGraph, Turf.js, Deck.gl, Recharts, dan Pytest memberikan fleksibilitas penuh untuk integrasi kode tanpa kewajiban membuka modul rahasia/backend.</w:t>
      </w:r>
    </w:p>
    <w:p w14:paraId="554FF089" w14:textId="77777777" w:rsidR="00564C6C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Lisensi BSD 3-Clause (Permisif): </w:t>
      </w:r>
      <w:r>
        <w:rPr>
          <w:rFonts w:ascii="Calibri" w:hAnsi="Calibri"/>
          <w:color w:val="334155"/>
          <w:sz w:val="20"/>
        </w:rPr>
        <w:t>Pustaka seperti NetworkX, NumPy, SciPy, Uvicorn, dan HTTPX mengizinkan redistribusi kode biner maupun sumber dengan syarat mempertahankan klausul hak cipta asli.</w:t>
      </w:r>
    </w:p>
    <w:p w14:paraId="76CBAD67" w14:textId="77777777" w:rsidR="00564C6C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Lisensi Apache 2.0 (Proteksi Paten): </w:t>
      </w:r>
      <w:r>
        <w:rPr>
          <w:rFonts w:ascii="Calibri" w:hAnsi="Calibri"/>
          <w:color w:val="334155"/>
          <w:sz w:val="20"/>
        </w:rPr>
        <w:t>Pustaka seperti Google GenAI SDK dan Playwright menyediakan lisensi ramah enterprise dengan perlindungan paten eksplisit.</w:t>
      </w:r>
    </w:p>
    <w:p w14:paraId="7EC84F5C" w14:textId="77777777" w:rsidR="00564C6C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Lisensi Komersial Terkelola (Mapbox): </w:t>
      </w:r>
      <w:r>
        <w:rPr>
          <w:rFonts w:ascii="Calibri" w:hAnsi="Calibri"/>
          <w:color w:val="334155"/>
          <w:sz w:val="20"/>
        </w:rPr>
        <w:t>Penggunaan Mapbox GL JS untuk rendering peta tunduk pada Terms of Service Mapbox. Pada tahap MVP/evaluasi, kuota gratis mencukupi seluruh kebutuhan demonstrasi.</w:t>
      </w:r>
    </w:p>
    <w:p w14:paraId="659981DE" w14:textId="77777777" w:rsidR="00564C6C" w:rsidRDefault="00000000"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3. Kompatibilitas Lisensi &amp; Bebas dari Copyleft Trap</w:t>
      </w:r>
    </w:p>
    <w:p w14:paraId="4D180ED2" w14:textId="61BB17ED" w:rsidR="00564C6C" w:rsidRDefault="00000000">
      <w:pPr>
        <w:spacing w:after="80"/>
      </w:pPr>
      <w:r>
        <w:rPr>
          <w:rFonts w:ascii="Calibri" w:hAnsi="Calibri"/>
          <w:color w:val="334155"/>
          <w:sz w:val="21"/>
        </w:rPr>
        <w:t>PreHub secara ketat menghindari penggunaan pustaka bertipe Viral Copyleft pada kode aplikasi inti. Dengan demikian:</w:t>
      </w:r>
    </w:p>
    <w:p w14:paraId="2EFD5AB8" w14:textId="77777777" w:rsidR="00564C6C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Bebas Kontaminasi: </w:t>
      </w:r>
      <w:r>
        <w:rPr>
          <w:rFonts w:ascii="Calibri" w:hAnsi="Calibri"/>
          <w:color w:val="334155"/>
          <w:sz w:val="20"/>
        </w:rPr>
        <w:t>Sistem PreHub tidak memiliki risiko kontaminasi lisensi yang memaksa kode backend menjadi sepenuhnya publik.</w:t>
      </w:r>
    </w:p>
    <w:p w14:paraId="0B0EA15C" w14:textId="77777777" w:rsidR="00564C6C" w:rsidRDefault="00000000">
      <w:pPr>
        <w:pStyle w:val="ListBullet"/>
        <w:spacing w:after="60"/>
      </w:pPr>
      <w:r>
        <w:rPr>
          <w:rFonts w:ascii="Calibri" w:hAnsi="Calibri"/>
          <w:b/>
          <w:color w:val="1E293B"/>
          <w:sz w:val="20"/>
        </w:rPr>
        <w:t xml:space="preserve">Kepatuhan Regulasi: </w:t>
      </w:r>
      <w:r>
        <w:rPr>
          <w:rFonts w:ascii="Calibri" w:hAnsi="Calibri"/>
          <w:color w:val="334155"/>
          <w:sz w:val="20"/>
        </w:rPr>
        <w:t>Memberikan jaminan kepastian hukum bagi institusi pemerintah dalam mengadopsi PreHub sebagai sistem peringatan dini nasional.</w:t>
      </w:r>
    </w:p>
    <w:sectPr w:rsidR="00564C6C" w:rsidSect="00034616">
      <w:headerReference w:type="default" r:id="rId8"/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887A8" w14:textId="77777777" w:rsidR="00C055FF" w:rsidRDefault="00C055FF">
      <w:pPr>
        <w:spacing w:after="0" w:line="240" w:lineRule="auto"/>
      </w:pPr>
      <w:r>
        <w:separator/>
      </w:r>
    </w:p>
  </w:endnote>
  <w:endnote w:type="continuationSeparator" w:id="0">
    <w:p w14:paraId="197518E0" w14:textId="77777777" w:rsidR="00C055FF" w:rsidRDefault="00C05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93439" w14:textId="216CB07B" w:rsidR="00564C6C" w:rsidRDefault="00000000">
    <w:pPr>
      <w:pStyle w:val="Footer"/>
    </w:pPr>
    <w:r>
      <w:rPr>
        <w:rFonts w:ascii="Calibri" w:hAnsi="Calibri"/>
        <w:color w:val="94A3B8"/>
        <w:sz w:val="17"/>
      </w:rPr>
      <w:t xml:space="preserve">PreHub — Early Warning &amp; Mitigation Decision Support System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2F658" w14:textId="77777777" w:rsidR="00C055FF" w:rsidRDefault="00C055FF">
      <w:pPr>
        <w:spacing w:after="0" w:line="240" w:lineRule="auto"/>
      </w:pPr>
      <w:r>
        <w:separator/>
      </w:r>
    </w:p>
  </w:footnote>
  <w:footnote w:type="continuationSeparator" w:id="0">
    <w:p w14:paraId="18A6652A" w14:textId="77777777" w:rsidR="00C055FF" w:rsidRDefault="00C05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4000E" w14:textId="77777777" w:rsidR="00564C6C" w:rsidRDefault="00000000">
    <w:pPr>
      <w:pStyle w:val="Header"/>
      <w:jc w:val="right"/>
    </w:pPr>
    <w:r>
      <w:rPr>
        <w:rFonts w:ascii="Calibri" w:hAnsi="Calibri"/>
        <w:color w:val="94A3B8"/>
        <w:sz w:val="17"/>
      </w:rPr>
      <w:t>PREHUB — ADOPSI LISENSI PERANGKAT LUNAK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424305">
    <w:abstractNumId w:val="8"/>
  </w:num>
  <w:num w:numId="2" w16cid:durableId="1106925065">
    <w:abstractNumId w:val="6"/>
  </w:num>
  <w:num w:numId="3" w16cid:durableId="318533622">
    <w:abstractNumId w:val="5"/>
  </w:num>
  <w:num w:numId="4" w16cid:durableId="1018506684">
    <w:abstractNumId w:val="4"/>
  </w:num>
  <w:num w:numId="5" w16cid:durableId="244844298">
    <w:abstractNumId w:val="7"/>
  </w:num>
  <w:num w:numId="6" w16cid:durableId="1261596734">
    <w:abstractNumId w:val="3"/>
  </w:num>
  <w:num w:numId="7" w16cid:durableId="1024988221">
    <w:abstractNumId w:val="2"/>
  </w:num>
  <w:num w:numId="8" w16cid:durableId="1690063202">
    <w:abstractNumId w:val="1"/>
  </w:num>
  <w:num w:numId="9" w16cid:durableId="80504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BE7"/>
    <w:rsid w:val="005437D0"/>
    <w:rsid w:val="00564C6C"/>
    <w:rsid w:val="00AA1D8D"/>
    <w:rsid w:val="00B47730"/>
    <w:rsid w:val="00C055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68CCA"/>
  <w14:defaultImageDpi w14:val="300"/>
  <w15:docId w15:val="{5018D9C0-9002-4311-9B2B-8C7C93F0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akin Zhavi</cp:lastModifiedBy>
  <cp:revision>2</cp:revision>
  <dcterms:created xsi:type="dcterms:W3CDTF">2013-12-23T23:15:00Z</dcterms:created>
  <dcterms:modified xsi:type="dcterms:W3CDTF">2026-08-17T14:22:00Z</dcterms:modified>
  <cp:category/>
</cp:coreProperties>
</file>