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E3A8A"/>
          <w:sz w:val="36"/>
        </w:rPr>
        <w:t>DOKUMEN KELENGKAPAN SUBMISI</w:t>
      </w:r>
    </w:p>
    <w:p>
      <w:pPr>
        <w:spacing w:before="0" w:after="280"/>
      </w:pPr>
      <w:r>
        <w:rPr>
          <w:rFonts w:ascii="Calibri" w:hAnsi="Calibri"/>
          <w:i/>
          <w:color w:val="64748B"/>
          <w:sz w:val="22"/>
        </w:rPr>
        <w:t>Sistem PreHub: Early Warning &amp; Mitigation Decision Support System untuk Distribusi Pangan</w:t>
      </w:r>
    </w:p>
    <w:tbl>
      <w:tblPr>
        <w:tblW w:type="auto" w:w="0"/>
        <w:jc w:val="center"/>
        <w:tblLayout w:type="fixed"/>
        <w:tblLook w:firstColumn="1" w:firstRow="1" w:lastColumn="0" w:lastRow="0" w:noHBand="0" w:noVBand="1" w:val="04A0"/>
      </w:tblPr>
      <w:tblGrid>
        <w:gridCol w:w="9648"/>
      </w:tblGrid>
      <w:tr>
        <w:tc>
          <w:tcPr>
            <w:tcW w:type="dxa" w:w="9648"/>
            <w:shd w:fill="F0F9FF"/>
            <w:tcMar>
              <w:top w:w="100" w:type="dxa"/>
              <w:bottom w:w="100" w:type="dxa"/>
              <w:left w:w="140" w:type="dxa"/>
              <w:right w:w="140" w:type="dxa"/>
            </w:tcMar>
            <w:tcBorders>
              <w:top w:val="single" w:sz="4" w:space="0" w:color="E2E8F0"/>
              <w:left w:val="single" w:sz="18" w:space="0" w:color="0284C7"/>
              <w:bottom w:val="single" w:sz="4" w:space="0" w:color="E2E8F0"/>
              <w:right w:val="single" w:sz="4" w:space="0" w:color="E2E8F0"/>
            </w:tcBorders>
          </w:tcPr>
          <w:p>
            <w:pPr>
              <w:spacing w:before="0" w:after="40"/>
            </w:pPr>
            <w:r>
              <w:rPr>
                <w:rFonts w:ascii="Arial" w:hAnsi="Arial"/>
                <w:b/>
                <w:color w:val="0284C7"/>
                <w:sz w:val="20"/>
              </w:rPr>
              <w:t>📌 Identitas Pengajuan Berkas</w:t>
              <w:br/>
            </w:r>
            <w:r>
              <w:rPr>
                <w:rFonts w:ascii="Calibri" w:hAnsi="Calibri"/>
                <w:color w:val="334155"/>
                <w:sz w:val="20"/>
              </w:rPr>
              <w:t>Nama Produk / Sistem : PreHub (Predictive Logistics Hub &amp; Early Warning System)</w:t>
              <w:br/>
              <w:t>Kategori Kompetisi   : Sistem Pendukung Keputusan (DSS) / AI-Driven Geo-Logistics</w:t>
              <w:br/>
              <w:t>Status Rilis         : Production Release v1.2.0-PROD (Sumatra Multi-Modal)</w:t>
              <w:br/>
              <w:t>Tanggal Submisi      : 17 Agustus 2026</w:t>
            </w:r>
          </w:p>
        </w:tc>
      </w:tr>
    </w:tbl>
    <w:p>
      <w:pPr>
        <w:spacing w:before="0" w:after="80"/>
      </w:pPr>
    </w:p>
    <w:p>
      <w:pPr>
        <w:keepNext/>
        <w:spacing w:before="320" w:after="120"/>
      </w:pPr>
      <w:r>
        <w:rPr>
          <w:rFonts w:ascii="Arial" w:hAnsi="Arial"/>
          <w:b/>
          <w:color w:val="1E3A8A"/>
          <w:sz w:val="26"/>
        </w:rPr>
        <w:t>1. EXECUTABLE FILE OR WEB URL</w:t>
      </w:r>
    </w:p>
    <w:p>
      <w:pPr>
        <w:spacing w:before="0" w:after="80" w:line="276" w:lineRule="auto"/>
      </w:pPr>
      <w:r>
        <w:rPr>
          <w:rFonts w:ascii="Calibri" w:hAnsi="Calibri"/>
          <w:color w:val="334155"/>
          <w:sz w:val="21"/>
        </w:rPr>
        <w:t>Sistem PreHub telah dideploy secara penuh pada infrastruktur cloud global dan dapat diakses langsung oleh tim dewan juri:</w:t>
      </w:r>
    </w:p>
    <w:tbl>
      <w:tblPr>
        <w:tblW w:type="auto" w:w="0"/>
        <w:jc w:val="center"/>
        <w:tblLayout w:type="fixed"/>
        <w:tblLook w:firstColumn="1" w:firstRow="1" w:lastColumn="0" w:lastRow="0" w:noHBand="0" w:noVBand="1" w:val="04A0"/>
      </w:tblPr>
      <w:tblGrid>
        <w:gridCol w:w="9648"/>
      </w:tblGrid>
      <w:tr>
        <w:tc>
          <w:tcPr>
            <w:tcW w:type="dxa" w:w="9648"/>
            <w:shd w:fill="F0FDF4"/>
            <w:tcMar>
              <w:top w:w="100" w:type="dxa"/>
              <w:bottom w:w="100" w:type="dxa"/>
              <w:left w:w="140" w:type="dxa"/>
              <w:right w:w="140" w:type="dxa"/>
            </w:tcMar>
            <w:tcBorders>
              <w:top w:val="single" w:sz="4" w:space="0" w:color="E2E8F0"/>
              <w:left w:val="single" w:sz="18" w:space="0" w:color="16A34A"/>
              <w:bottom w:val="single" w:sz="4" w:space="0" w:color="E2E8F0"/>
              <w:right w:val="single" w:sz="4" w:space="0" w:color="E2E8F0"/>
            </w:tcBorders>
          </w:tcPr>
          <w:p>
            <w:pPr>
              <w:spacing w:before="0" w:after="40"/>
            </w:pPr>
            <w:r>
              <w:rPr>
                <w:rFonts w:ascii="Arial" w:hAnsi="Arial"/>
                <w:b/>
                <w:color w:val="16A34A"/>
                <w:sz w:val="20"/>
              </w:rPr>
              <w:t>📌 Production Web Application URL</w:t>
              <w:br/>
            </w:r>
            <w:r>
              <w:rPr>
                <w:rFonts w:ascii="Calibri" w:hAnsi="Calibri"/>
                <w:color w:val="334155"/>
                <w:sz w:val="20"/>
              </w:rPr>
              <w:t>🌐 URL Akses: https://pre-hub.vercel.app</w:t>
              <w:br/>
              <w:t>Platform: Vercel Edge Global Network &amp; Cloud Backend</w:t>
            </w:r>
          </w:p>
        </w:tc>
      </w:tr>
    </w:tbl>
    <w:p>
      <w:pPr>
        <w:spacing w:before="0" w:after="80"/>
      </w:pPr>
    </w:p>
    <w:p>
      <w:pPr>
        <w:keepNext/>
        <w:spacing w:before="320" w:after="120"/>
      </w:pPr>
      <w:r>
        <w:rPr>
          <w:rFonts w:ascii="Arial" w:hAnsi="Arial"/>
          <w:b/>
          <w:color w:val="1E3A8A"/>
          <w:sz w:val="26"/>
        </w:rPr>
        <w:t>2. VIDEO DEMO URL</w:t>
      </w:r>
    </w:p>
    <w:p>
      <w:pPr>
        <w:spacing w:before="0" w:after="80" w:line="276" w:lineRule="auto"/>
      </w:pPr>
      <w:r>
        <w:rPr>
          <w:rFonts w:ascii="Calibri" w:hAnsi="Calibri"/>
          <w:color w:val="334155"/>
          <w:sz w:val="21"/>
        </w:rPr>
        <w:t>Tautan rekaman video demonstrasi komprehensif fitur dan simulasi operasional PreHub:</w:t>
      </w:r>
    </w:p>
    <w:tbl>
      <w:tblPr>
        <w:tblW w:type="auto" w:w="0"/>
        <w:jc w:val="center"/>
        <w:tblLayout w:type="fixed"/>
        <w:tblLook w:firstColumn="1" w:firstRow="1" w:lastColumn="0" w:lastRow="0" w:noHBand="0" w:noVBand="1" w:val="04A0"/>
      </w:tblPr>
      <w:tblGrid>
        <w:gridCol w:w="9648"/>
      </w:tblGrid>
      <w:tr>
        <w:tc>
          <w:tcPr>
            <w:tcW w:type="dxa" w:w="9648"/>
            <w:shd w:fill="F0F9FF"/>
            <w:tcMar>
              <w:top w:w="100" w:type="dxa"/>
              <w:bottom w:w="100" w:type="dxa"/>
              <w:left w:w="140" w:type="dxa"/>
              <w:right w:w="140" w:type="dxa"/>
            </w:tcMar>
            <w:tcBorders>
              <w:top w:val="single" w:sz="4" w:space="0" w:color="E2E8F0"/>
              <w:left w:val="single" w:sz="18" w:space="0" w:color="0284C7"/>
              <w:bottom w:val="single" w:sz="4" w:space="0" w:color="E2E8F0"/>
              <w:right w:val="single" w:sz="4" w:space="0" w:color="E2E8F0"/>
            </w:tcBorders>
          </w:tcPr>
          <w:p>
            <w:pPr>
              <w:spacing w:before="0" w:after="40"/>
            </w:pPr>
            <w:r>
              <w:rPr>
                <w:rFonts w:ascii="Arial" w:hAnsi="Arial"/>
                <w:b/>
                <w:color w:val="0284C7"/>
                <w:sz w:val="20"/>
              </w:rPr>
              <w:t>📌 Tautan Video YouTube</w:t>
              <w:br/>
            </w:r>
            <w:r>
              <w:rPr>
                <w:rFonts w:ascii="Calibri" w:hAnsi="Calibri"/>
                <w:color w:val="334155"/>
                <w:sz w:val="20"/>
              </w:rPr>
              <w:t>🎬 URL Video: https://youtube.com/watch?v=[MASUKKAN_ID_VIDEO_ANDA]</w:t>
              <w:br/>
              <w:t>Durasi: ~3-5 Menit (Full HD 1080p 60fps)</w:t>
            </w:r>
          </w:p>
        </w:tc>
      </w:tr>
    </w:tbl>
    <w:p>
      <w:pPr>
        <w:spacing w:before="0" w:after="80"/>
      </w:pPr>
    </w:p>
    <w:p>
      <w:pPr>
        <w:keepNext/>
        <w:spacing w:before="320" w:after="120"/>
      </w:pPr>
      <w:r>
        <w:rPr>
          <w:rFonts w:ascii="Arial" w:hAnsi="Arial"/>
          <w:b/>
          <w:color w:val="1E3A8A"/>
          <w:sz w:val="26"/>
        </w:rPr>
        <w:t>3. COMPONENT &amp; LIBRARY LIST</w:t>
      </w:r>
    </w:p>
    <w:p>
      <w:pPr>
        <w:spacing w:before="0" w:after="80" w:line="276" w:lineRule="auto"/>
      </w:pPr>
      <w:r>
        <w:rPr>
          <w:rFonts w:ascii="Calibri" w:hAnsi="Calibri"/>
          <w:color w:val="334155"/>
          <w:sz w:val="21"/>
        </w:rPr>
        <w:t>Ringkasan komponen dan pustaka perangkat lunak yang diintegrasikan: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fill="1E3A8A"/>
            <w:tcMar>
              <w:top w:w="100" w:type="dxa"/>
              <w:bottom w:w="100" w:type="dxa"/>
              <w:left w:w="120" w:type="dxa"/>
              <w:right w:w="120" w:type="dxa"/>
            </w:tcMar>
            <w:tcBorders>
              <w:top w:val="single" w:sz="6" w:space="0" w:color="1E3A8A"/>
              <w:left w:val="single" w:sz="4" w:space="0" w:color="3B82F6"/>
              <w:bottom w:val="single" w:sz="6" w:space="0" w:color="1E3A8A"/>
              <w:right w:val="single" w:sz="4" w:space="0" w:color="3B82F6"/>
            </w:tcBorders>
          </w:tcPr>
          <w:p>
            <w:pPr>
              <w:jc w:val="left"/>
            </w:pPr>
            <w:r>
              <w:rPr>
                <w:rFonts w:ascii="Arial" w:hAnsi="Arial"/>
                <w:b/>
                <w:color w:val="FFFFFF"/>
                <w:sz w:val="19"/>
              </w:rPr>
              <w:t>Komponen / Library</w:t>
            </w:r>
          </w:p>
        </w:tc>
        <w:tc>
          <w:tcPr>
            <w:tcW w:type="dxa" w:w="1440"/>
            <w:shd w:fill="1E3A8A"/>
            <w:tcMar>
              <w:top w:w="100" w:type="dxa"/>
              <w:bottom w:w="100" w:type="dxa"/>
              <w:left w:w="120" w:type="dxa"/>
              <w:right w:w="120" w:type="dxa"/>
            </w:tcMar>
            <w:tcBorders>
              <w:top w:val="single" w:sz="6" w:space="0" w:color="1E3A8A"/>
              <w:left w:val="single" w:sz="4" w:space="0" w:color="3B82F6"/>
              <w:bottom w:val="single" w:sz="6" w:space="0" w:color="1E3A8A"/>
              <w:right w:val="single" w:sz="4" w:space="0" w:color="3B82F6"/>
            </w:tcBorders>
          </w:tcPr>
          <w:p>
            <w:pPr>
              <w:jc w:val="left"/>
            </w:pPr>
            <w:r>
              <w:rPr>
                <w:rFonts w:ascii="Arial" w:hAnsi="Arial"/>
                <w:b/>
                <w:color w:val="FFFFFF"/>
                <w:sz w:val="19"/>
              </w:rPr>
              <w:t>Kategori</w:t>
            </w:r>
          </w:p>
        </w:tc>
        <w:tc>
          <w:tcPr>
            <w:tcW w:type="dxa" w:w="4176"/>
            <w:shd w:fill="1E3A8A"/>
            <w:tcMar>
              <w:top w:w="100" w:type="dxa"/>
              <w:bottom w:w="100" w:type="dxa"/>
              <w:left w:w="120" w:type="dxa"/>
              <w:right w:w="120" w:type="dxa"/>
            </w:tcMar>
            <w:tcBorders>
              <w:top w:val="single" w:sz="6" w:space="0" w:color="1E3A8A"/>
              <w:left w:val="single" w:sz="4" w:space="0" w:color="3B82F6"/>
              <w:bottom w:val="single" w:sz="6" w:space="0" w:color="1E3A8A"/>
              <w:right w:val="single" w:sz="4" w:space="0" w:color="3B82F6"/>
            </w:tcBorders>
          </w:tcPr>
          <w:p>
            <w:pPr>
              <w:jc w:val="left"/>
            </w:pPr>
            <w:r>
              <w:rPr>
                <w:rFonts w:ascii="Arial" w:hAnsi="Arial"/>
                <w:b/>
                <w:color w:val="FFFFFF"/>
                <w:sz w:val="19"/>
              </w:rPr>
              <w:t>Kegunaan Utama</w:t>
            </w:r>
          </w:p>
        </w:tc>
        <w:tc>
          <w:tcPr>
            <w:tcW w:type="dxa" w:w="1728"/>
            <w:shd w:fill="1E3A8A"/>
            <w:tcMar>
              <w:top w:w="100" w:type="dxa"/>
              <w:bottom w:w="100" w:type="dxa"/>
              <w:left w:w="120" w:type="dxa"/>
              <w:right w:w="120" w:type="dxa"/>
            </w:tcMar>
            <w:tcBorders>
              <w:top w:val="single" w:sz="6" w:space="0" w:color="1E3A8A"/>
              <w:left w:val="single" w:sz="4" w:space="0" w:color="3B82F6"/>
              <w:bottom w:val="single" w:sz="6" w:space="0" w:color="1E3A8A"/>
              <w:right w:val="single" w:sz="4" w:space="0" w:color="3B82F6"/>
            </w:tcBorders>
          </w:tcPr>
          <w:p>
            <w:pPr>
              <w:jc w:val="left"/>
            </w:pPr>
            <w:r>
              <w:rPr>
                <w:rFonts w:ascii="Arial" w:hAnsi="Arial"/>
                <w:b/>
                <w:color w:val="FFFFFF"/>
                <w:sz w:val="19"/>
              </w:rPr>
              <w:t>Lisensi</w:t>
            </w:r>
          </w:p>
        </w:tc>
      </w:tr>
      <w:tr>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Next.js 14 &amp; React 18</w:t>
            </w:r>
          </w:p>
        </w:tc>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Frontend</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Framework antarmuka pengguna &amp; SSR</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w:t>
            </w:r>
          </w:p>
        </w:tc>
      </w:tr>
      <w:tr>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Tailwind CSS 3.4</w:t>
            </w:r>
          </w:p>
        </w:tc>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Frontend</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Styling Glassmorphism Dark UI</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w:t>
            </w:r>
          </w:p>
        </w:tc>
      </w:tr>
      <w:tr>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Deck.gl 9.3 &amp; Mapbox GL</w:t>
            </w:r>
          </w:p>
        </w:tc>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Geospasial</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Rendering peta vektor &amp; visualisasi arc</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 / Mapbox</w:t>
            </w:r>
          </w:p>
        </w:tc>
      </w:tr>
      <w:tr>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Turf.js 7.3</w:t>
            </w:r>
          </w:p>
        </w:tc>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Geospasial</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Analisis spasial koordinat koridor</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w:t>
            </w:r>
          </w:p>
        </w:tc>
      </w:tr>
      <w:tr>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FastAPI &amp; Uvicorn</w:t>
            </w:r>
          </w:p>
        </w:tc>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Backend</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High-performance REST API &amp; WebSocket</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 / BSD</w:t>
            </w:r>
          </w:p>
        </w:tc>
      </w:tr>
      <w:tr>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LangGraph &amp; Checkpoint</w:t>
            </w:r>
          </w:p>
        </w:tc>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AI Engine</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Orkestrasi 6 Agen AI (Swarm Architecture)</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w:t>
            </w:r>
          </w:p>
        </w:tc>
      </w:tr>
      <w:tr>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Google GenAI SDK</w:t>
            </w:r>
          </w:p>
        </w:tc>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AI Engine</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Ekstraksi OSINT berita &amp; reasoning</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Apache 2.0</w:t>
            </w:r>
          </w:p>
        </w:tc>
      </w:tr>
      <w:tr>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NetworkX 3.3</w:t>
            </w:r>
          </w:p>
        </w:tc>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Routing</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Algoritma shortest path Dijkstra rute alternatif</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BSD 3-Clause</w:t>
            </w:r>
          </w:p>
        </w:tc>
      </w:tr>
      <w:tr>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Supabase / PostgreSQL</w:t>
            </w:r>
          </w:p>
        </w:tc>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Database</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Penyimpanan data relasional &amp; PostGIS spasial</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 / PostgreSQL</w:t>
            </w:r>
          </w:p>
        </w:tc>
      </w:tr>
      <w:tr>
        <w:tc>
          <w:tcPr>
            <w:tcW w:type="dxa" w:w="2304"/>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Redis 5.0</w:t>
            </w:r>
          </w:p>
        </w:tc>
        <w:tc>
          <w:tcPr>
            <w:tcW w:type="dxa" w:w="144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Cache/Broker</w:t>
            </w:r>
          </w:p>
        </w:tc>
        <w:tc>
          <w:tcPr>
            <w:tcW w:type="dxa" w:w="4176"/>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Message streaming &amp; caching data cuaca</w:t>
            </w:r>
          </w:p>
        </w:tc>
        <w:tc>
          <w:tcPr>
            <w:tcW w:type="dxa" w:w="1728"/>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MIT</w:t>
            </w:r>
          </w:p>
        </w:tc>
      </w:tr>
      <w:tr>
        <w:tc>
          <w:tcPr>
            <w:tcW w:type="dxa" w:w="2304"/>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Playwright &amp; Pytest</w:t>
            </w:r>
          </w:p>
        </w:tc>
        <w:tc>
          <w:tcPr>
            <w:tcW w:type="dxa" w:w="1440"/>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Testing</w:t>
            </w:r>
          </w:p>
        </w:tc>
        <w:tc>
          <w:tcPr>
            <w:tcW w:type="dxa" w:w="4176"/>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Pengujian otomatis E2E dan unit test backend</w:t>
            </w:r>
          </w:p>
        </w:tc>
        <w:tc>
          <w:tcPr>
            <w:tcW w:type="dxa" w:w="1728"/>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Calibri" w:hAnsi="Calibri"/>
                <w:color w:val="334155"/>
                <w:sz w:val="19"/>
              </w:rPr>
              <w:t>Apache / MIT</w:t>
            </w:r>
          </w:p>
        </w:tc>
      </w:tr>
    </w:tbl>
    <w:p>
      <w:pPr>
        <w:spacing w:before="0" w:after="120"/>
      </w:pPr>
    </w:p>
    <w:p>
      <w:pPr>
        <w:keepNext/>
        <w:spacing w:before="320" w:after="120"/>
      </w:pPr>
      <w:r>
        <w:rPr>
          <w:rFonts w:ascii="Arial" w:hAnsi="Arial"/>
          <w:b/>
          <w:color w:val="1E3A8A"/>
          <w:sz w:val="26"/>
        </w:rPr>
        <w:t>4. ADOPSI LISENSI (LICENSE ADOPTION)</w:t>
      </w:r>
    </w:p>
    <w:p>
      <w:pPr>
        <w:spacing w:before="0" w:after="80" w:line="276" w:lineRule="auto"/>
      </w:pPr>
      <w:r>
        <w:rPr>
          <w:rFonts w:ascii="Calibri" w:hAnsi="Calibri"/>
          <w:color w:val="334155"/>
          <w:sz w:val="21"/>
        </w:rPr>
        <w:t>Perangkat lunak PreHub mengadopsi MIT License sebagai lisensi utama untuk kode sumber internal. Seluruh dependensi pihak ketiga menggunakan lisensi bebas permisif (MIT, BSD, Apache 2.0) yang sepenuhnya kompatibel untuk adopsi institusi publik maupun komersial tanpa adanya hambatan copyleft.</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PreHub — Early Warning &amp; Mitigation Decision Support System | Digdaya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PREHUB — DOKUMEN KELENGKAPAN SUBMISI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