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master_product_plan"/>
      <w:r>
        <w:rPr>
          <w:rFonts w:eastAsia="source serif 4" w:cs="source serif 4" w:ascii="source serif 4" w:hAnsi="source serif 4"/>
          <w:b/>
          <w:color w:val="000000"/>
          <w:sz w:val="39"/>
        </w:rPr>
        <w:t xml:space="preserve">Master Product Plan</w:t>
      </w:r>
      <w:bookmarkEnd w:id="0"/>
    </w:p>
    <w:p>
      <w:pPr>
        <w:spacing w:line="360" w:after="210" w:lineRule="auto"/>
      </w:pPr>
      <w:r>
        <w:rPr>
          <w:rFonts w:eastAsia="source serif 4" w:cs="source serif 4" w:ascii="source serif 4" w:hAnsi="source serif 4"/>
          <w:color w:val="000000"/>
        </w:rPr>
        <w:t xml:space="preserve">This plan outlines the first build strategy for a calm, ADHD-friendly reading-to-audio web product. The core idea is to help users turn dense reading into playable audio quickly, with low friction, high trust, and a predictable sense of progress.</w:t>
      </w:r>
    </w:p>
    <w:p>
      <w:pPr>
        <w:spacing w:line="360" w:before="315" w:after="105" w:lineRule="auto"/>
        <w:ind w:left="-30"/>
        <w:jc w:val="left"/>
      </w:pPr>
      <w:bookmarkStart w:id="1" w:name="product_goal"/>
      <w:r>
        <w:rPr>
          <w:rFonts w:eastAsia="source serif 4" w:cs="source serif 4" w:ascii="source serif 4" w:hAnsi="source serif 4"/>
          <w:b/>
          <w:color w:val="000000"/>
          <w:sz w:val="24"/>
        </w:rPr>
        <w:t xml:space="preserve">Product Goal</w:t>
      </w:r>
      <w:bookmarkEnd w:id="1"/>
    </w:p>
    <w:p>
      <w:pPr>
        <w:spacing w:line="360" w:after="210" w:lineRule="auto"/>
      </w:pPr>
      <w:r>
        <w:rPr>
          <w:rFonts w:eastAsia="source serif 4" w:cs="source serif 4" w:ascii="source serif 4" w:hAnsi="source serif 4"/>
          <w:color w:val="000000"/>
        </w:rPr>
        <w:t xml:space="preserve">The product should help an overwhelmed student or reader move from “I cannot get through this” to “I am listening and making progress” in the fewest possible steps. Research on ADHD-friendly design consistently emphasizes reduced cognitive load, predictable flows, and progressive disclosure rather than cluttered choice-heavy experiences.[cite:116][cite:110][cite:115]</w:t>
      </w:r>
    </w:p>
    <w:p>
      <w:pPr>
        <w:spacing w:line="360" w:before="315" w:after="105" w:lineRule="auto"/>
        <w:ind w:left="-30"/>
        <w:jc w:val="left"/>
      </w:pPr>
      <w:bookmarkStart w:id="2" w:name="positioning"/>
      <w:r>
        <w:rPr>
          <w:rFonts w:eastAsia="source serif 4" w:cs="source serif 4" w:ascii="source serif 4" w:hAnsi="source serif 4"/>
          <w:b/>
          <w:color w:val="000000"/>
          <w:sz w:val="24"/>
        </w:rPr>
        <w:t xml:space="preserve">Positioning</w:t>
      </w:r>
      <w:bookmarkEnd w:id="2"/>
    </w:p>
    <w:p>
      <w:pPr>
        <w:spacing w:line="360" w:after="210" w:lineRule="auto"/>
      </w:pPr>
      <w:r>
        <w:rPr>
          <w:rFonts w:eastAsia="source serif 4" w:cs="source serif 4" w:ascii="source serif 4" w:hAnsi="source serif 4"/>
          <w:color w:val="000000"/>
        </w:rPr>
        <w:t xml:space="preserve">The clearest positioning is a calm study companion rather than a flashy AI tool. Neurodivergent-friendly guidance emphasizes emotional safety, low surprise, and interfaces that reduce overstimulation instead of adding theatrical motion or dense decision-making.[cite:111][cite:174][cite:175]</w:t>
      </w:r>
    </w:p>
    <w:p>
      <w:pPr>
        <w:spacing w:line="360" w:before="315" w:after="105" w:lineRule="auto"/>
        <w:ind w:left="-30"/>
        <w:jc w:val="left"/>
      </w:pPr>
      <w:bookmarkStart w:id="3" w:name="core_promise"/>
      <w:r>
        <w:rPr>
          <w:rFonts w:eastAsia="source serif 4" w:cs="source serif 4" w:ascii="source serif 4" w:hAnsi="source serif 4"/>
          <w:b/>
          <w:color w:val="000000"/>
          <w:sz w:val="24"/>
        </w:rPr>
        <w:t xml:space="preserve">Core Promise</w:t>
      </w:r>
      <w:bookmarkEnd w:id="3"/>
    </w:p>
    <w:p>
      <w:pPr>
        <w:spacing w:line="360" w:after="210" w:lineRule="auto"/>
      </w:pPr>
      <w:r>
        <w:rPr>
          <w:rFonts w:eastAsia="source serif 4" w:cs="source serif 4" w:ascii="source serif 4" w:hAnsi="source serif 4"/>
          <w:color w:val="000000"/>
        </w:rPr>
        <w:t xml:space="preserve">Turn dense readings into audio you can actually finish.</w:t>
      </w:r>
    </w:p>
    <w:p>
      <w:pPr>
        <w:spacing w:line="360" w:before="315" w:after="105" w:lineRule="auto"/>
        <w:ind w:left="-30"/>
        <w:jc w:val="left"/>
      </w:pPr>
      <w:bookmarkStart w:id="4" w:name="product_personality"/>
      <w:r>
        <w:rPr>
          <w:rFonts w:eastAsia="source serif 4" w:cs="source serif 4" w:ascii="source serif 4" w:hAnsi="source serif 4"/>
          <w:b/>
          <w:color w:val="000000"/>
          <w:sz w:val="24"/>
        </w:rPr>
        <w:t xml:space="preserve">Product Personality</w:t>
      </w:r>
      <w:bookmarkEnd w:id="4"/>
    </w:p>
    <w:p>
      <w:pPr>
        <w:numPr>
          <w:ilvl w:val="0"/>
          <w:numId w:val="1"/>
        </w:numPr>
        <w:spacing w:line="360" w:before="105" w:after="105" w:lineRule="auto"/>
      </w:pPr>
      <w:r>
        <w:rPr>
          <w:rFonts w:eastAsia="source serif 4" w:cs="source serif 4" w:ascii="source serif 4" w:hAnsi="source serif 4"/>
          <w:color w:val="000000"/>
          <w:sz w:val="21"/>
        </w:rPr>
        <w:t xml:space="preserve">Calm</w:t>
      </w:r>
    </w:p>
    <w:p>
      <w:pPr>
        <w:numPr>
          <w:ilvl w:val="0"/>
          <w:numId w:val="1"/>
        </w:numPr>
        <w:spacing w:line="360" w:before="105" w:after="105" w:lineRule="auto"/>
      </w:pPr>
      <w:r>
        <w:rPr>
          <w:rFonts w:eastAsia="source serif 4" w:cs="source serif 4" w:ascii="source serif 4" w:hAnsi="source serif 4"/>
          <w:color w:val="000000"/>
          <w:sz w:val="21"/>
        </w:rPr>
        <w:t xml:space="preserve">Trustworthy</w:t>
      </w:r>
    </w:p>
    <w:p>
      <w:pPr>
        <w:numPr>
          <w:ilvl w:val="0"/>
          <w:numId w:val="1"/>
        </w:numPr>
        <w:spacing w:line="360" w:before="105" w:after="105" w:lineRule="auto"/>
      </w:pPr>
      <w:r>
        <w:rPr>
          <w:rFonts w:eastAsia="source serif 4" w:cs="source serif 4" w:ascii="source serif 4" w:hAnsi="source serif 4"/>
          <w:color w:val="000000"/>
          <w:sz w:val="21"/>
        </w:rPr>
        <w:t xml:space="preserve">Clear</w:t>
      </w:r>
    </w:p>
    <w:p>
      <w:pPr>
        <w:numPr>
          <w:ilvl w:val="0"/>
          <w:numId w:val="1"/>
        </w:numPr>
        <w:spacing w:line="360" w:before="105" w:after="105" w:lineRule="auto"/>
      </w:pPr>
      <w:r>
        <w:rPr>
          <w:rFonts w:eastAsia="source serif 4" w:cs="source serif 4" w:ascii="source serif 4" w:hAnsi="source serif 4"/>
          <w:color w:val="000000"/>
          <w:sz w:val="21"/>
        </w:rPr>
        <w:t xml:space="preserve">Supportive</w:t>
      </w:r>
    </w:p>
    <w:p>
      <w:pPr>
        <w:numPr>
          <w:ilvl w:val="0"/>
          <w:numId w:val="1"/>
        </w:numPr>
        <w:spacing w:line="360" w:before="105" w:after="105" w:lineRule="auto"/>
      </w:pPr>
      <w:r>
        <w:rPr>
          <w:rFonts w:eastAsia="source serif 4" w:cs="source serif 4" w:ascii="source serif 4" w:hAnsi="source serif 4"/>
          <w:color w:val="000000"/>
          <w:sz w:val="21"/>
        </w:rPr>
        <w:t xml:space="preserve">Smart without showing off</w:t>
      </w:r>
    </w:p>
    <w:p>
      <w:pPr>
        <w:spacing w:line="360" w:before="315" w:after="105" w:lineRule="auto"/>
        <w:ind w:left="-30"/>
        <w:jc w:val="left"/>
      </w:pPr>
      <w:bookmarkStart w:id="5" w:name="phase_1_landing_page"/>
      <w:r>
        <w:rPr>
          <w:rFonts w:eastAsia="source serif 4" w:cs="source serif 4" w:ascii="source serif 4" w:hAnsi="source serif 4"/>
          <w:b/>
          <w:color w:val="000000"/>
          <w:sz w:val="24"/>
        </w:rPr>
        <w:t xml:space="preserve">Phase 1: Landing Page</w:t>
      </w:r>
      <w:bookmarkEnd w:id="5"/>
    </w:p>
    <w:p>
      <w:pPr>
        <w:spacing w:line="360" w:after="210" w:lineRule="auto"/>
      </w:pPr>
      <w:r>
        <w:rPr>
          <w:rFonts w:eastAsia="source serif 4" w:cs="source serif 4" w:ascii="source serif 4" w:hAnsi="source serif 4"/>
          <w:color w:val="000000"/>
        </w:rPr>
        <w:t xml:space="preserve">The landing page should communicate one promise, one primary action, and one fast explanation of how the product works. ADHD-focused UX guidance recommends minimizing clutter, reducing competing messages, and making next steps obvious within seconds.[cite:116][cite:110][cite:112]</w:t>
      </w:r>
    </w:p>
    <w:p>
      <w:pPr>
        <w:spacing w:line="360" w:before="315" w:after="105" w:lineRule="auto"/>
        <w:ind w:left="-30"/>
        <w:jc w:val="left"/>
      </w:pPr>
      <w:bookmarkStart w:id="6" w:name="landing_page_structure"/>
      <w:r>
        <w:rPr>
          <w:rFonts w:eastAsia="source serif 4" w:cs="source serif 4" w:ascii="source serif 4" w:hAnsi="source serif 4"/>
          <w:b/>
          <w:color w:val="000000"/>
          <w:sz w:val="24"/>
        </w:rPr>
        <w:t xml:space="preserve">Landing Page Structure</w:t>
      </w:r>
      <w:bookmarkEnd w:id="6"/>
    </w:p>
    <w:p>
      <w:pPr>
        <w:numPr>
          <w:ilvl w:val="0"/>
          <w:numId w:val="2"/>
        </w:numPr>
        <w:spacing w:line="360" w:before="105" w:after="105" w:lineRule="auto"/>
      </w:pPr>
      <w:r>
        <w:rPr>
          <w:rFonts w:eastAsia="source serif 4" w:cs="source serif 4" w:ascii="source serif 4" w:hAnsi="source serif 4"/>
          <w:color w:val="000000"/>
          <w:sz w:val="21"/>
        </w:rPr>
        <w:t xml:space="preserve">Hero with one headline, one subheadline, one CTA.</w:t>
      </w:r>
    </w:p>
    <w:p>
      <w:pPr>
        <w:numPr>
          <w:ilvl w:val="0"/>
          <w:numId w:val="2"/>
        </w:numPr>
        <w:spacing w:line="360" w:before="105" w:after="105" w:lineRule="auto"/>
      </w:pPr>
      <w:r>
        <w:rPr>
          <w:rFonts w:eastAsia="source serif 4" w:cs="source serif 4" w:ascii="source serif 4" w:hAnsi="source serif 4"/>
          <w:color w:val="000000"/>
          <w:sz w:val="21"/>
        </w:rPr>
        <w:t xml:space="preserve">A 3-step “how it works” strip.</w:t>
      </w:r>
    </w:p>
    <w:p>
      <w:pPr>
        <w:numPr>
          <w:ilvl w:val="0"/>
          <w:numId w:val="2"/>
        </w:numPr>
        <w:spacing w:line="360" w:before="105" w:after="105" w:lineRule="auto"/>
      </w:pPr>
      <w:r>
        <w:rPr>
          <w:rFonts w:eastAsia="source serif 4" w:cs="source serif 4" w:ascii="source serif 4" w:hAnsi="source serif 4"/>
          <w:color w:val="000000"/>
          <w:sz w:val="21"/>
        </w:rPr>
        <w:t xml:space="preserve">A trust section covering privacy, ease, and expected output.</w:t>
      </w:r>
    </w:p>
    <w:p>
      <w:pPr>
        <w:numPr>
          <w:ilvl w:val="0"/>
          <w:numId w:val="2"/>
        </w:numPr>
        <w:spacing w:line="360" w:before="105" w:after="105" w:lineRule="auto"/>
      </w:pPr>
      <w:r>
        <w:rPr>
          <w:rFonts w:eastAsia="source serif 4" w:cs="source serif 4" w:ascii="source serif 4" w:hAnsi="source serif 4"/>
          <w:color w:val="000000"/>
          <w:sz w:val="21"/>
        </w:rPr>
        <w:t xml:space="preserve">A product preview or listening demo.</w:t>
      </w:r>
    </w:p>
    <w:p>
      <w:pPr>
        <w:numPr>
          <w:ilvl w:val="0"/>
          <w:numId w:val="2"/>
        </w:numPr>
        <w:spacing w:line="360" w:before="105" w:after="105" w:lineRule="auto"/>
      </w:pPr>
      <w:r>
        <w:rPr>
          <w:rFonts w:eastAsia="source serif 4" w:cs="source serif 4" w:ascii="source serif 4" w:hAnsi="source serif 4"/>
          <w:color w:val="000000"/>
          <w:sz w:val="21"/>
        </w:rPr>
        <w:t xml:space="preserve">A simple closing CTA.</w:t>
      </w:r>
    </w:p>
    <w:p>
      <w:pPr>
        <w:spacing w:line="360" w:before="315" w:after="105" w:lineRule="auto"/>
        <w:ind w:left="-30"/>
        <w:jc w:val="left"/>
      </w:pPr>
      <w:bookmarkStart w:id="7" w:name="hero_direction"/>
      <w:r>
        <w:rPr>
          <w:rFonts w:eastAsia="source serif 4" w:cs="source serif 4" w:ascii="source serif 4" w:hAnsi="source serif 4"/>
          <w:b/>
          <w:color w:val="000000"/>
          <w:sz w:val="24"/>
        </w:rPr>
        <w:t xml:space="preserve">Hero Direction</w:t>
      </w:r>
      <w:bookmarkEnd w:id="7"/>
    </w:p>
    <w:p>
      <w:pPr>
        <w:numPr>
          <w:ilvl w:val="0"/>
          <w:numId w:val="3"/>
        </w:numPr>
        <w:spacing w:line="360" w:before="105" w:after="105" w:lineRule="auto"/>
      </w:pPr>
      <w:r>
        <w:rPr>
          <w:rFonts w:eastAsia="source serif 4" w:cs="source serif 4" w:ascii="source serif 4" w:hAnsi="source serif 4"/>
          <w:color w:val="000000"/>
          <w:sz w:val="21"/>
        </w:rPr>
        <w:t xml:space="preserve">Headline: Turn dense readings into audio you can actually finish.</w:t>
      </w:r>
    </w:p>
    <w:p>
      <w:pPr>
        <w:numPr>
          <w:ilvl w:val="0"/>
          <w:numId w:val="3"/>
        </w:numPr>
        <w:spacing w:line="360" w:before="105" w:after="105" w:lineRule="auto"/>
      </w:pPr>
      <w:r>
        <w:rPr>
          <w:rFonts w:eastAsia="source serif 4" w:cs="source serif 4" w:ascii="source serif 4" w:hAnsi="source serif 4"/>
          <w:color w:val="000000"/>
          <w:sz w:val="21"/>
        </w:rPr>
        <w:t xml:space="preserve">Subheadline: Built for students, ADHD brains, and anyone who focuses better by listening.</w:t>
      </w:r>
    </w:p>
    <w:p>
      <w:pPr>
        <w:numPr>
          <w:ilvl w:val="0"/>
          <w:numId w:val="3"/>
        </w:numPr>
        <w:spacing w:line="360" w:before="105" w:after="105" w:lineRule="auto"/>
      </w:pPr>
      <w:r>
        <w:rPr>
          <w:rFonts w:eastAsia="source serif 4" w:cs="source serif 4" w:ascii="source serif 4" w:hAnsi="source serif 4"/>
          <w:color w:val="000000"/>
          <w:sz w:val="21"/>
        </w:rPr>
        <w:t xml:space="preserve">Primary CTA: Upload a reading</w:t>
      </w:r>
    </w:p>
    <w:p>
      <w:pPr>
        <w:numPr>
          <w:ilvl w:val="0"/>
          <w:numId w:val="3"/>
        </w:numPr>
        <w:spacing w:line="360" w:before="105" w:after="105" w:lineRule="auto"/>
      </w:pPr>
      <w:r>
        <w:rPr>
          <w:rFonts w:eastAsia="source serif 4" w:cs="source serif 4" w:ascii="source serif 4" w:hAnsi="source serif 4"/>
          <w:color w:val="000000"/>
          <w:sz w:val="21"/>
        </w:rPr>
        <w:t xml:space="preserve">Secondary CTA: See how it works</w:t>
      </w:r>
    </w:p>
    <w:p>
      <w:pPr>
        <w:spacing w:line="360" w:before="315" w:after="105" w:lineRule="auto"/>
        <w:ind w:left="-30"/>
        <w:jc w:val="left"/>
      </w:pPr>
      <w:bookmarkStart w:id="8" w:name="phase_2_signup_and_onboarding"/>
      <w:r>
        <w:rPr>
          <w:rFonts w:eastAsia="source serif 4" w:cs="source serif 4" w:ascii="source serif 4" w:hAnsi="source serif 4"/>
          <w:b/>
          <w:color w:val="000000"/>
          <w:sz w:val="24"/>
        </w:rPr>
        <w:t xml:space="preserve">Phase 2: Signup And Onboarding</w:t>
      </w:r>
      <w:bookmarkEnd w:id="8"/>
    </w:p>
    <w:p>
      <w:pPr>
        <w:spacing w:line="360" w:after="210" w:lineRule="auto"/>
      </w:pPr>
      <w:r>
        <w:rPr>
          <w:rFonts w:eastAsia="source serif 4" w:cs="source serif 4" w:ascii="source serif 4" w:hAnsi="source serif 4"/>
          <w:color w:val="000000"/>
        </w:rPr>
        <w:t xml:space="preserve">The onboarding goal is first value, not profile completion. Strong onboarding patterns guide users quickly toward activation and avoid asking for unnecessary data before the user experiences the product’s benefit.[cite:157][cite:158]</w:t>
      </w:r>
    </w:p>
    <w:p>
      <w:pPr>
        <w:spacing w:line="360" w:before="315" w:after="105" w:lineRule="auto"/>
        <w:ind w:left="-30"/>
        <w:jc w:val="left"/>
      </w:pPr>
      <w:bookmarkStart w:id="9" w:name="onboarding_flow"/>
      <w:r>
        <w:rPr>
          <w:rFonts w:eastAsia="source serif 4" w:cs="source serif 4" w:ascii="source serif 4" w:hAnsi="source serif 4"/>
          <w:b/>
          <w:color w:val="000000"/>
          <w:sz w:val="24"/>
        </w:rPr>
        <w:t xml:space="preserve">Onboarding Flow</w:t>
      </w:r>
      <w:bookmarkEnd w:id="9"/>
    </w:p>
    <w:p>
      <w:pPr>
        <w:numPr>
          <w:ilvl w:val="0"/>
          <w:numId w:val="4"/>
        </w:numPr>
        <w:spacing w:line="360" w:before="105" w:after="105" w:lineRule="auto"/>
      </w:pPr>
      <w:r>
        <w:rPr>
          <w:rFonts w:eastAsia="source serif 4" w:cs="source serif 4" w:ascii="source serif 4" w:hAnsi="source serif 4"/>
          <w:color w:val="000000"/>
          <w:sz w:val="21"/>
        </w:rPr>
        <w:t xml:space="preserve">Welcome screen with Google and email options.</w:t>
      </w:r>
    </w:p>
    <w:p>
      <w:pPr>
        <w:numPr>
          <w:ilvl w:val="0"/>
          <w:numId w:val="4"/>
        </w:numPr>
        <w:spacing w:line="360" w:before="105" w:after="105" w:lineRule="auto"/>
      </w:pPr>
      <w:r>
        <w:rPr>
          <w:rFonts w:eastAsia="source serif 4" w:cs="source serif 4" w:ascii="source serif 4" w:hAnsi="source serif 4"/>
          <w:color w:val="000000"/>
          <w:sz w:val="21"/>
        </w:rPr>
        <w:t xml:space="preserve">Minimal signup form.</w:t>
      </w:r>
    </w:p>
    <w:p>
      <w:pPr>
        <w:numPr>
          <w:ilvl w:val="0"/>
          <w:numId w:val="4"/>
        </w:numPr>
        <w:spacing w:line="360" w:before="105" w:after="105" w:lineRule="auto"/>
      </w:pPr>
      <w:r>
        <w:rPr>
          <w:rFonts w:eastAsia="source serif 4" w:cs="source serif 4" w:ascii="source serif 4" w:hAnsi="source serif 4"/>
          <w:color w:val="000000"/>
          <w:sz w:val="21"/>
        </w:rPr>
        <w:t xml:space="preserve">Success state with one clear next action.</w:t>
      </w:r>
    </w:p>
    <w:p>
      <w:pPr>
        <w:numPr>
          <w:ilvl w:val="0"/>
          <w:numId w:val="4"/>
        </w:numPr>
        <w:spacing w:line="360" w:before="105" w:after="105" w:lineRule="auto"/>
      </w:pPr>
      <w:r>
        <w:rPr>
          <w:rFonts w:eastAsia="source serif 4" w:cs="source serif 4" w:ascii="source serif 4" w:hAnsi="source serif 4"/>
          <w:color w:val="000000"/>
          <w:sz w:val="21"/>
        </w:rPr>
        <w:t xml:space="preserve">First upload flow.</w:t>
      </w:r>
    </w:p>
    <w:p>
      <w:pPr>
        <w:numPr>
          <w:ilvl w:val="0"/>
          <w:numId w:val="4"/>
        </w:numPr>
        <w:spacing w:line="360" w:before="105" w:after="105" w:lineRule="auto"/>
      </w:pPr>
      <w:r>
        <w:rPr>
          <w:rFonts w:eastAsia="source serif 4" w:cs="source serif 4" w:ascii="source serif 4" w:hAnsi="source serif 4"/>
          <w:color w:val="000000"/>
          <w:sz w:val="21"/>
        </w:rPr>
        <w:t xml:space="preserve">Optional preferences after first success.</w:t>
      </w:r>
    </w:p>
    <w:p>
      <w:pPr>
        <w:spacing w:line="360" w:before="315" w:after="105" w:lineRule="auto"/>
        <w:ind w:left="-30"/>
        <w:jc w:val="left"/>
      </w:pPr>
      <w:bookmarkStart w:id="10" w:name="rules"/>
      <w:r>
        <w:rPr>
          <w:rFonts w:eastAsia="source serif 4" w:cs="source serif 4" w:ascii="source serif 4" w:hAnsi="source serif 4"/>
          <w:b/>
          <w:color w:val="000000"/>
          <w:sz w:val="24"/>
        </w:rPr>
        <w:t xml:space="preserve">Rules</w:t>
      </w:r>
      <w:bookmarkEnd w:id="10"/>
    </w:p>
    <w:p>
      <w:pPr>
        <w:numPr>
          <w:ilvl w:val="0"/>
          <w:numId w:val="5"/>
        </w:numPr>
        <w:spacing w:line="360" w:before="105" w:after="105" w:lineRule="auto"/>
      </w:pPr>
      <w:r>
        <w:rPr>
          <w:rFonts w:eastAsia="source serif 4" w:cs="source serif 4" w:ascii="source serif 4" w:hAnsi="source serif 4"/>
          <w:color w:val="000000"/>
          <w:sz w:val="21"/>
        </w:rPr>
        <w:t xml:space="preserve">No long questionnaires before first use.</w:t>
      </w:r>
    </w:p>
    <w:p>
      <w:pPr>
        <w:numPr>
          <w:ilvl w:val="0"/>
          <w:numId w:val="5"/>
        </w:numPr>
        <w:spacing w:line="360" w:before="105" w:after="105" w:lineRule="auto"/>
      </w:pPr>
      <w:r>
        <w:rPr>
          <w:rFonts w:eastAsia="source serif 4" w:cs="source serif 4" w:ascii="source serif 4" w:hAnsi="source serif 4"/>
          <w:color w:val="000000"/>
          <w:sz w:val="21"/>
        </w:rPr>
        <w:t xml:space="preserve">One task per screen.</w:t>
      </w:r>
    </w:p>
    <w:p>
      <w:pPr>
        <w:numPr>
          <w:ilvl w:val="0"/>
          <w:numId w:val="5"/>
        </w:numPr>
        <w:spacing w:line="360" w:before="105" w:after="105" w:lineRule="auto"/>
      </w:pPr>
      <w:r>
        <w:rPr>
          <w:rFonts w:eastAsia="source serif 4" w:cs="source serif 4" w:ascii="source serif 4" w:hAnsi="source serif 4"/>
          <w:color w:val="000000"/>
          <w:sz w:val="21"/>
        </w:rPr>
        <w:t xml:space="preserve">Clear progress markers.</w:t>
      </w:r>
    </w:p>
    <w:p>
      <w:pPr>
        <w:numPr>
          <w:ilvl w:val="0"/>
          <w:numId w:val="5"/>
        </w:numPr>
        <w:spacing w:line="360" w:before="105" w:after="105" w:lineRule="auto"/>
      </w:pPr>
      <w:r>
        <w:rPr>
          <w:rFonts w:eastAsia="source serif 4" w:cs="source serif 4" w:ascii="source serif 4" w:hAnsi="source serif 4"/>
          <w:color w:val="000000"/>
          <w:sz w:val="21"/>
        </w:rPr>
        <w:t xml:space="preserve">Friendly error handling.</w:t>
      </w:r>
    </w:p>
    <w:p>
      <w:pPr>
        <w:numPr>
          <w:ilvl w:val="0"/>
          <w:numId w:val="5"/>
        </w:numPr>
        <w:spacing w:line="360" w:before="105" w:after="105" w:lineRule="auto"/>
      </w:pPr>
      <w:r>
        <w:rPr>
          <w:rFonts w:eastAsia="source serif 4" w:cs="source serif 4" w:ascii="source serif 4" w:hAnsi="source serif 4"/>
          <w:color w:val="000000"/>
          <w:sz w:val="21"/>
        </w:rPr>
        <w:t xml:space="preserve">Large mobile-first tap targets.</w:t>
      </w:r>
    </w:p>
    <w:p>
      <w:pPr>
        <w:spacing w:line="360" w:before="315" w:after="105" w:lineRule="auto"/>
        <w:ind w:left="-30"/>
        <w:jc w:val="left"/>
      </w:pPr>
      <w:bookmarkStart w:id="11" w:name="phase_3_voice_and_hd_experience"/>
      <w:r>
        <w:rPr>
          <w:rFonts w:eastAsia="source serif 4" w:cs="source serif 4" w:ascii="source serif 4" w:hAnsi="source serif 4"/>
          <w:b/>
          <w:color w:val="000000"/>
          <w:sz w:val="24"/>
        </w:rPr>
        <w:t xml:space="preserve">Phase 3: Voice And HD Experience</w:t>
      </w:r>
      <w:bookmarkEnd w:id="11"/>
    </w:p>
    <w:p>
      <w:pPr>
        <w:spacing w:line="360" w:after="210" w:lineRule="auto"/>
      </w:pPr>
      <w:r>
        <w:rPr>
          <w:rFonts w:eastAsia="source serif 4" w:cs="source serif 4" w:ascii="source serif 4" w:hAnsi="source serif 4"/>
          <w:color w:val="000000"/>
        </w:rPr>
        <w:t xml:space="preserve">Voice generation latency must feel honest and well-managed. Voice UX research shows that users become impatient when delays are unexplained, but tolerate them better when the system signals progress, offers fallback choices, and sets realistic expectations.[cite:159][cite:160]</w:t>
      </w:r>
    </w:p>
    <w:p>
      <w:pPr>
        <w:spacing w:line="360" w:before="315" w:after="105" w:lineRule="auto"/>
        <w:ind w:left="-30"/>
        <w:jc w:val="left"/>
      </w:pPr>
      <w:bookmarkStart w:id="12" w:name="voice_strategy"/>
      <w:r>
        <w:rPr>
          <w:rFonts w:eastAsia="source serif 4" w:cs="source serif 4" w:ascii="source serif 4" w:hAnsi="source serif 4"/>
          <w:b/>
          <w:color w:val="000000"/>
          <w:sz w:val="24"/>
        </w:rPr>
        <w:t xml:space="preserve">Voice Strategy</w:t>
      </w:r>
      <w:bookmarkEnd w:id="12"/>
    </w:p>
    <w:p>
      <w:pPr>
        <w:numPr>
          <w:ilvl w:val="0"/>
          <w:numId w:val="6"/>
        </w:numPr>
        <w:spacing w:line="360" w:before="105" w:after="105" w:lineRule="auto"/>
      </w:pPr>
      <w:r>
        <w:rPr>
          <w:rFonts w:eastAsia="source serif 4" w:cs="source serif 4" w:ascii="source serif 4" w:hAnsi="source serif 4"/>
          <w:color w:val="000000"/>
          <w:sz w:val="21"/>
        </w:rPr>
        <w:t xml:space="preserve">Standard voice: faster, clearly labeled.</w:t>
      </w:r>
    </w:p>
    <w:p>
      <w:pPr>
        <w:numPr>
          <w:ilvl w:val="0"/>
          <w:numId w:val="6"/>
        </w:numPr>
        <w:spacing w:line="360" w:before="105" w:after="105" w:lineRule="auto"/>
      </w:pPr>
      <w:r>
        <w:rPr>
          <w:rFonts w:eastAsia="source serif 4" w:cs="source serif 4" w:ascii="source serif 4" w:hAnsi="source serif 4"/>
          <w:color w:val="000000"/>
          <w:sz w:val="21"/>
        </w:rPr>
        <w:t xml:space="preserve">HD voice: slower, premium, clearly labeled.</w:t>
      </w:r>
    </w:p>
    <w:p>
      <w:pPr>
        <w:numPr>
          <w:ilvl w:val="0"/>
          <w:numId w:val="6"/>
        </w:numPr>
        <w:spacing w:line="360" w:before="105" w:after="105" w:lineRule="auto"/>
      </w:pPr>
      <w:r>
        <w:rPr>
          <w:rFonts w:eastAsia="source serif 4" w:cs="source serif 4" w:ascii="source serif 4" w:hAnsi="source serif 4"/>
          <w:color w:val="000000"/>
          <w:sz w:val="21"/>
        </w:rPr>
        <w:t xml:space="preserve">Explicit explanation of trade-offs.</w:t>
      </w:r>
    </w:p>
    <w:p>
      <w:pPr>
        <w:numPr>
          <w:ilvl w:val="0"/>
          <w:numId w:val="6"/>
        </w:numPr>
        <w:spacing w:line="360" w:before="105" w:after="105" w:lineRule="auto"/>
      </w:pPr>
      <w:r>
        <w:rPr>
          <w:rFonts w:eastAsia="source serif 4" w:cs="source serif 4" w:ascii="source serif 4" w:hAnsi="source serif 4"/>
          <w:color w:val="000000"/>
          <w:sz w:val="21"/>
        </w:rPr>
        <w:t xml:space="preserve">Progress states that feel informative, not frozen.</w:t>
      </w:r>
    </w:p>
    <w:p>
      <w:pPr>
        <w:numPr>
          <w:ilvl w:val="0"/>
          <w:numId w:val="6"/>
        </w:numPr>
        <w:spacing w:line="360" w:before="105" w:after="105" w:lineRule="auto"/>
      </w:pPr>
      <w:r>
        <w:rPr>
          <w:rFonts w:eastAsia="source serif 4" w:cs="source serif 4" w:ascii="source serif 4" w:hAnsi="source serif 4"/>
          <w:color w:val="000000"/>
          <w:sz w:val="21"/>
        </w:rPr>
        <w:t xml:space="preserve">“Switch to Standard” fallback if HD takes too long.</w:t>
      </w:r>
    </w:p>
    <w:p>
      <w:pPr>
        <w:spacing w:line="360" w:before="315" w:after="105" w:lineRule="auto"/>
        <w:ind w:left="-30"/>
        <w:jc w:val="left"/>
      </w:pPr>
      <w:bookmarkStart w:id="13" w:name="progress_language"/>
      <w:r>
        <w:rPr>
          <w:rFonts w:eastAsia="source serif 4" w:cs="source serif 4" w:ascii="source serif 4" w:hAnsi="source serif 4"/>
          <w:b/>
          <w:color w:val="000000"/>
          <w:sz w:val="24"/>
        </w:rPr>
        <w:t xml:space="preserve">Progress Language</w:t>
      </w:r>
      <w:bookmarkEnd w:id="13"/>
    </w:p>
    <w:p>
      <w:pPr>
        <w:numPr>
          <w:ilvl w:val="0"/>
          <w:numId w:val="7"/>
        </w:numPr>
        <w:spacing w:line="360" w:before="105" w:after="105" w:lineRule="auto"/>
      </w:pPr>
      <w:r>
        <w:rPr>
          <w:rFonts w:eastAsia="source serif 4" w:cs="source serif 4" w:ascii="source serif 4" w:hAnsi="source serif 4"/>
          <w:color w:val="000000"/>
          <w:sz w:val="21"/>
        </w:rPr>
        <w:t xml:space="preserve">Preparing your audio</w:t>
      </w:r>
    </w:p>
    <w:p>
      <w:pPr>
        <w:numPr>
          <w:ilvl w:val="0"/>
          <w:numId w:val="7"/>
        </w:numPr>
        <w:spacing w:line="360" w:before="105" w:after="105" w:lineRule="auto"/>
      </w:pPr>
      <w:r>
        <w:rPr>
          <w:rFonts w:eastAsia="source serif 4" w:cs="source serif 4" w:ascii="source serif 4" w:hAnsi="source serif 4"/>
          <w:color w:val="000000"/>
          <w:sz w:val="21"/>
        </w:rPr>
        <w:t xml:space="preserve">Generating voice</w:t>
      </w:r>
    </w:p>
    <w:p>
      <w:pPr>
        <w:numPr>
          <w:ilvl w:val="0"/>
          <w:numId w:val="7"/>
        </w:numPr>
        <w:spacing w:line="360" w:before="105" w:after="105" w:lineRule="auto"/>
      </w:pPr>
      <w:r>
        <w:rPr>
          <w:rFonts w:eastAsia="source serif 4" w:cs="source serif 4" w:ascii="source serif 4" w:hAnsi="source serif 4"/>
          <w:color w:val="000000"/>
          <w:sz w:val="21"/>
        </w:rPr>
        <w:t xml:space="preserve">Finalizing playback</w:t>
      </w:r>
    </w:p>
    <w:p>
      <w:pPr>
        <w:numPr>
          <w:ilvl w:val="0"/>
          <w:numId w:val="7"/>
        </w:numPr>
        <w:spacing w:line="360" w:before="105" w:after="105" w:lineRule="auto"/>
      </w:pPr>
      <w:r>
        <w:rPr>
          <w:rFonts w:eastAsia="source serif 4" w:cs="source serif 4" w:ascii="source serif 4" w:hAnsi="source serif 4"/>
          <w:color w:val="000000"/>
          <w:sz w:val="21"/>
        </w:rPr>
        <w:t xml:space="preserve">Ready to listen</w:t>
      </w:r>
    </w:p>
    <w:p>
      <w:pPr>
        <w:spacing w:line="360" w:before="315" w:after="105" w:lineRule="auto"/>
        <w:ind w:left="-30"/>
        <w:jc w:val="left"/>
      </w:pPr>
      <w:bookmarkStart w:id="14" w:name="phase_4_sound_policy"/>
      <w:r>
        <w:rPr>
          <w:rFonts w:eastAsia="source serif 4" w:cs="source serif 4" w:ascii="source serif 4" w:hAnsi="source serif 4"/>
          <w:b/>
          <w:color w:val="000000"/>
          <w:sz w:val="24"/>
        </w:rPr>
        <w:t xml:space="preserve">Phase 4: Sound Policy</w:t>
      </w:r>
      <w:bookmarkEnd w:id="14"/>
    </w:p>
    <w:p>
      <w:pPr>
        <w:spacing w:line="360" w:after="210" w:lineRule="auto"/>
      </w:pPr>
      <w:r>
        <w:rPr>
          <w:rFonts w:eastAsia="source serif 4" w:cs="source serif 4" w:ascii="source serif 4" w:hAnsi="source serif 4"/>
          <w:color w:val="000000"/>
        </w:rPr>
        <w:t xml:space="preserve">Sound should support clarity, not stimulation. Accessibility guidance discourages autoplay audio and stresses that users need control over sound, especially when audio may interfere with concentration or assistive technologies.[cite:147][cite:148][cite:151]</w:t>
      </w:r>
    </w:p>
    <w:p>
      <w:pPr>
        <w:spacing w:line="360" w:before="315" w:after="105" w:lineRule="auto"/>
        <w:ind w:left="-30"/>
        <w:jc w:val="left"/>
      </w:pPr>
      <w:bookmarkStart w:id="15" w:name="sound_rules"/>
      <w:r>
        <w:rPr>
          <w:rFonts w:eastAsia="source serif 4" w:cs="source serif 4" w:ascii="source serif 4" w:hAnsi="source serif 4"/>
          <w:b/>
          <w:color w:val="000000"/>
          <w:sz w:val="24"/>
        </w:rPr>
        <w:t xml:space="preserve">Sound Rules</w:t>
      </w:r>
      <w:bookmarkEnd w:id="15"/>
    </w:p>
    <w:p>
      <w:pPr>
        <w:numPr>
          <w:ilvl w:val="0"/>
          <w:numId w:val="8"/>
        </w:numPr>
        <w:spacing w:line="360" w:before="105" w:after="105" w:lineRule="auto"/>
      </w:pPr>
      <w:r>
        <w:rPr>
          <w:rFonts w:eastAsia="source serif 4" w:cs="source serif 4" w:ascii="source serif 4" w:hAnsi="source serif 4"/>
          <w:color w:val="000000"/>
          <w:sz w:val="21"/>
        </w:rPr>
        <w:t xml:space="preserve">Interface sounds off by default.</w:t>
      </w:r>
    </w:p>
    <w:p>
      <w:pPr>
        <w:numPr>
          <w:ilvl w:val="0"/>
          <w:numId w:val="8"/>
        </w:numPr>
        <w:spacing w:line="360" w:before="105" w:after="105" w:lineRule="auto"/>
      </w:pPr>
      <w:r>
        <w:rPr>
          <w:rFonts w:eastAsia="source serif 4" w:cs="source serif 4" w:ascii="source serif 4" w:hAnsi="source serif 4"/>
          <w:color w:val="000000"/>
          <w:sz w:val="21"/>
        </w:rPr>
        <w:t xml:space="preserve">Optional toggle: Play subtle interface sounds.</w:t>
      </w:r>
    </w:p>
    <w:p>
      <w:pPr>
        <w:numPr>
          <w:ilvl w:val="0"/>
          <w:numId w:val="8"/>
        </w:numPr>
        <w:spacing w:line="360" w:before="105" w:after="105" w:lineRule="auto"/>
      </w:pPr>
      <w:r>
        <w:rPr>
          <w:rFonts w:eastAsia="source serif 4" w:cs="source serif 4" w:ascii="source serif 4" w:hAnsi="source serif 4"/>
          <w:color w:val="000000"/>
          <w:sz w:val="21"/>
        </w:rPr>
        <w:t xml:space="preserve">Only use sounds for meaningful completions.</w:t>
      </w:r>
    </w:p>
    <w:p>
      <w:pPr>
        <w:numPr>
          <w:ilvl w:val="0"/>
          <w:numId w:val="8"/>
        </w:numPr>
        <w:spacing w:line="360" w:before="105" w:after="105" w:lineRule="auto"/>
      </w:pPr>
      <w:r>
        <w:rPr>
          <w:rFonts w:eastAsia="source serif 4" w:cs="source serif 4" w:ascii="source serif 4" w:hAnsi="source serif 4"/>
          <w:color w:val="000000"/>
          <w:sz w:val="21"/>
        </w:rPr>
        <w:t xml:space="preserve">No page-load sound, hover sound, or constant button clicking.</w:t>
      </w:r>
    </w:p>
    <w:p>
      <w:pPr>
        <w:spacing w:line="360" w:before="315" w:after="105" w:lineRule="auto"/>
        <w:ind w:left="-30"/>
        <w:jc w:val="left"/>
      </w:pPr>
      <w:bookmarkStart w:id="16" w:name="approved_sound_moments"/>
      <w:r>
        <w:rPr>
          <w:rFonts w:eastAsia="source serif 4" w:cs="source serif 4" w:ascii="source serif 4" w:hAnsi="source serif 4"/>
          <w:b/>
          <w:color w:val="000000"/>
          <w:sz w:val="24"/>
        </w:rPr>
        <w:t xml:space="preserve">Approved Sound Moments</w:t>
      </w:r>
      <w:bookmarkEnd w:id="16"/>
    </w:p>
    <w:p>
      <w:pPr>
        <w:numPr>
          <w:ilvl w:val="0"/>
          <w:numId w:val="9"/>
        </w:numPr>
        <w:spacing w:line="360" w:before="105" w:after="105" w:lineRule="auto"/>
      </w:pPr>
      <w:r>
        <w:rPr>
          <w:rFonts w:eastAsia="source serif 4" w:cs="source serif 4" w:ascii="source serif 4" w:hAnsi="source serif 4"/>
          <w:color w:val="000000"/>
          <w:sz w:val="21"/>
        </w:rPr>
        <w:t xml:space="preserve">Signup success</w:t>
      </w:r>
    </w:p>
    <w:p>
      <w:pPr>
        <w:numPr>
          <w:ilvl w:val="0"/>
          <w:numId w:val="9"/>
        </w:numPr>
        <w:spacing w:line="360" w:before="105" w:after="105" w:lineRule="auto"/>
      </w:pPr>
      <w:r>
        <w:rPr>
          <w:rFonts w:eastAsia="source serif 4" w:cs="source serif 4" w:ascii="source serif 4" w:hAnsi="source serif 4"/>
          <w:color w:val="000000"/>
          <w:sz w:val="21"/>
        </w:rPr>
        <w:t xml:space="preserve">Upload complete</w:t>
      </w:r>
    </w:p>
    <w:p>
      <w:pPr>
        <w:numPr>
          <w:ilvl w:val="0"/>
          <w:numId w:val="9"/>
        </w:numPr>
        <w:spacing w:line="360" w:before="105" w:after="105" w:lineRule="auto"/>
      </w:pPr>
      <w:r>
        <w:rPr>
          <w:rFonts w:eastAsia="source serif 4" w:cs="source serif 4" w:ascii="source serif 4" w:hAnsi="source serif 4"/>
          <w:color w:val="000000"/>
          <w:sz w:val="21"/>
        </w:rPr>
        <w:t xml:space="preserve">Audio ready</w:t>
      </w:r>
    </w:p>
    <w:p>
      <w:pPr>
        <w:numPr>
          <w:ilvl w:val="0"/>
          <w:numId w:val="9"/>
        </w:numPr>
        <w:spacing w:line="360" w:before="105" w:after="105" w:lineRule="auto"/>
      </w:pPr>
      <w:r>
        <w:rPr>
          <w:rFonts w:eastAsia="source serif 4" w:cs="source serif 4" w:ascii="source serif 4" w:hAnsi="source serif 4"/>
          <w:color w:val="000000"/>
          <w:sz w:val="21"/>
        </w:rPr>
        <w:t xml:space="preserve">Optional focus session start</w:t>
      </w:r>
    </w:p>
    <w:p>
      <w:pPr>
        <w:spacing w:line="360" w:before="315" w:after="105" w:lineRule="auto"/>
        <w:ind w:left="-30"/>
        <w:jc w:val="left"/>
      </w:pPr>
      <w:bookmarkStart w:id="17" w:name="phase_5_visual_direction"/>
      <w:r>
        <w:rPr>
          <w:rFonts w:eastAsia="source serif 4" w:cs="source serif 4" w:ascii="source serif 4" w:hAnsi="source serif 4"/>
          <w:b/>
          <w:color w:val="000000"/>
          <w:sz w:val="24"/>
        </w:rPr>
        <w:t xml:space="preserve">Phase 5: Visual Direction</w:t>
      </w:r>
      <w:bookmarkEnd w:id="17"/>
    </w:p>
    <w:p>
      <w:pPr>
        <w:spacing w:line="360" w:after="210" w:lineRule="auto"/>
      </w:pPr>
      <w:r>
        <w:rPr>
          <w:rFonts w:eastAsia="source serif 4" w:cs="source serif 4" w:ascii="source serif 4" w:hAnsi="source serif 4"/>
          <w:color w:val="000000"/>
        </w:rPr>
        <w:t xml:space="preserve">The aesthetic should be digital but restrained. Research on neurodivergent-friendly design suggests avoiding visually noisy motion, excessive saturation, and other effects likely to increase sensory load.[cite:165][cite:116][cite:170]</w:t>
      </w:r>
    </w:p>
    <w:p>
      <w:pPr>
        <w:spacing w:line="360" w:before="315" w:after="105" w:lineRule="auto"/>
        <w:ind w:left="-30"/>
        <w:jc w:val="left"/>
      </w:pPr>
      <w:bookmarkStart w:id="18" w:name="visual_rules"/>
      <w:r>
        <w:rPr>
          <w:rFonts w:eastAsia="source serif 4" w:cs="source serif 4" w:ascii="source serif 4" w:hAnsi="source serif 4"/>
          <w:b/>
          <w:color w:val="000000"/>
          <w:sz w:val="24"/>
        </w:rPr>
        <w:t xml:space="preserve">Visual Rules</w:t>
      </w:r>
      <w:bookmarkEnd w:id="18"/>
    </w:p>
    <w:p>
      <w:pPr>
        <w:numPr>
          <w:ilvl w:val="0"/>
          <w:numId w:val="10"/>
        </w:numPr>
        <w:spacing w:line="360" w:before="105" w:after="105" w:lineRule="auto"/>
      </w:pPr>
      <w:r>
        <w:rPr>
          <w:rFonts w:eastAsia="source serif 4" w:cs="source serif 4" w:ascii="source serif 4" w:hAnsi="source serif 4"/>
          <w:color w:val="000000"/>
          <w:sz w:val="21"/>
        </w:rPr>
        <w:t xml:space="preserve">Calm dark or neutral base.</w:t>
      </w:r>
    </w:p>
    <w:p>
      <w:pPr>
        <w:numPr>
          <w:ilvl w:val="0"/>
          <w:numId w:val="10"/>
        </w:numPr>
        <w:spacing w:line="360" w:before="105" w:after="105" w:lineRule="auto"/>
      </w:pPr>
      <w:r>
        <w:rPr>
          <w:rFonts w:eastAsia="source serif 4" w:cs="source serif 4" w:ascii="source serif 4" w:hAnsi="source serif 4"/>
          <w:color w:val="000000"/>
          <w:sz w:val="21"/>
        </w:rPr>
        <w:t xml:space="preserve">One restrained luminous accent.</w:t>
      </w:r>
    </w:p>
    <w:p>
      <w:pPr>
        <w:numPr>
          <w:ilvl w:val="0"/>
          <w:numId w:val="10"/>
        </w:numPr>
        <w:spacing w:line="360" w:before="105" w:after="105" w:lineRule="auto"/>
      </w:pPr>
      <w:r>
        <w:rPr>
          <w:rFonts w:eastAsia="source serif 4" w:cs="source serif 4" w:ascii="source serif 4" w:hAnsi="source serif 4"/>
          <w:color w:val="000000"/>
          <w:sz w:val="21"/>
        </w:rPr>
        <w:t xml:space="preserve">Minimal motion.</w:t>
      </w:r>
    </w:p>
    <w:p>
      <w:pPr>
        <w:numPr>
          <w:ilvl w:val="0"/>
          <w:numId w:val="10"/>
        </w:numPr>
        <w:spacing w:line="360" w:before="105" w:after="105" w:lineRule="auto"/>
      </w:pPr>
      <w:r>
        <w:rPr>
          <w:rFonts w:eastAsia="source serif 4" w:cs="source serif 4" w:ascii="source serif 4" w:hAnsi="source serif 4"/>
          <w:color w:val="000000"/>
          <w:sz w:val="21"/>
        </w:rPr>
        <w:t xml:space="preserve">Strong typography.</w:t>
      </w:r>
    </w:p>
    <w:p>
      <w:pPr>
        <w:numPr>
          <w:ilvl w:val="0"/>
          <w:numId w:val="10"/>
        </w:numPr>
        <w:spacing w:line="360" w:before="105" w:after="105" w:lineRule="auto"/>
      </w:pPr>
      <w:r>
        <w:rPr>
          <w:rFonts w:eastAsia="source serif 4" w:cs="source serif 4" w:ascii="source serif 4" w:hAnsi="source serif 4"/>
          <w:color w:val="000000"/>
          <w:sz w:val="21"/>
        </w:rPr>
        <w:t xml:space="preserve">No rainbow explosions, smoke bursts, or pulsing default effects.</w:t>
      </w:r>
    </w:p>
    <w:p>
      <w:pPr>
        <w:spacing w:line="360" w:before="315" w:after="105" w:lineRule="auto"/>
        <w:ind w:left="-30"/>
        <w:jc w:val="left"/>
      </w:pPr>
      <w:bookmarkStart w:id="19" w:name="phase_6_trust_privacy_and_reassurance"/>
      <w:r>
        <w:rPr>
          <w:rFonts w:eastAsia="source serif 4" w:cs="source serif 4" w:ascii="source serif 4" w:hAnsi="source serif 4"/>
          <w:b/>
          <w:color w:val="000000"/>
          <w:sz w:val="24"/>
        </w:rPr>
        <w:t xml:space="preserve">Phase 6: Trust, Privacy, And Reassurance</w:t>
      </w:r>
      <w:bookmarkEnd w:id="19"/>
    </w:p>
    <w:p>
      <w:pPr>
        <w:spacing w:line="360" w:after="210" w:lineRule="auto"/>
      </w:pPr>
      <w:r>
        <w:rPr>
          <w:rFonts w:eastAsia="source serif 4" w:cs="source serif 4" w:ascii="source serif 4" w:hAnsi="source serif 4"/>
          <w:color w:val="000000"/>
        </w:rPr>
        <w:t xml:space="preserve">Users need reassurance before they upload academic or personal documents. Trust-building copy and predictable feedback reduce anxiety and help people feel safe enough to continue.[cite:174][cite:175]</w:t>
      </w:r>
    </w:p>
    <w:p>
      <w:pPr>
        <w:spacing w:line="360" w:before="315" w:after="105" w:lineRule="auto"/>
        <w:ind w:left="-30"/>
        <w:jc w:val="left"/>
      </w:pPr>
      <w:bookmarkStart w:id="20" w:name="trust_copy_areas"/>
      <w:r>
        <w:rPr>
          <w:rFonts w:eastAsia="source serif 4" w:cs="source serif 4" w:ascii="source serif 4" w:hAnsi="source serif 4"/>
          <w:b/>
          <w:color w:val="000000"/>
          <w:sz w:val="24"/>
        </w:rPr>
        <w:t xml:space="preserve">Trust Copy Areas</w:t>
      </w:r>
      <w:bookmarkEnd w:id="20"/>
    </w:p>
    <w:p>
      <w:pPr>
        <w:numPr>
          <w:ilvl w:val="0"/>
          <w:numId w:val="11"/>
        </w:numPr>
        <w:spacing w:line="360" w:before="105" w:after="105" w:lineRule="auto"/>
      </w:pPr>
      <w:r>
        <w:rPr>
          <w:rFonts w:eastAsia="source serif 4" w:cs="source serif 4" w:ascii="source serif 4" w:hAnsi="source serif 4"/>
          <w:color w:val="000000"/>
          <w:sz w:val="21"/>
        </w:rPr>
        <w:t xml:space="preserve">Near signup: No spam. You can stop anytime.</w:t>
      </w:r>
    </w:p>
    <w:p>
      <w:pPr>
        <w:numPr>
          <w:ilvl w:val="0"/>
          <w:numId w:val="11"/>
        </w:numPr>
        <w:spacing w:line="360" w:before="105" w:after="105" w:lineRule="auto"/>
      </w:pPr>
      <w:r>
        <w:rPr>
          <w:rFonts w:eastAsia="source serif 4" w:cs="source serif 4" w:ascii="source serif 4" w:hAnsi="source serif 4"/>
          <w:color w:val="000000"/>
          <w:sz w:val="21"/>
        </w:rPr>
        <w:t xml:space="preserve">Near upload: Your reading stays private and can be deleted.</w:t>
      </w:r>
    </w:p>
    <w:p>
      <w:pPr>
        <w:numPr>
          <w:ilvl w:val="0"/>
          <w:numId w:val="11"/>
        </w:numPr>
        <w:spacing w:line="360" w:before="105" w:after="105" w:lineRule="auto"/>
      </w:pPr>
      <w:r>
        <w:rPr>
          <w:rFonts w:eastAsia="source serif 4" w:cs="source serif 4" w:ascii="source serif 4" w:hAnsi="source serif 4"/>
          <w:color w:val="000000"/>
          <w:sz w:val="21"/>
        </w:rPr>
        <w:t xml:space="preserve">Near HD option: HD is slower by design.</w:t>
      </w:r>
    </w:p>
    <w:p>
      <w:pPr>
        <w:numPr>
          <w:ilvl w:val="0"/>
          <w:numId w:val="11"/>
        </w:numPr>
        <w:spacing w:line="360" w:before="105" w:after="105" w:lineRule="auto"/>
      </w:pPr>
      <w:r>
        <w:rPr>
          <w:rFonts w:eastAsia="source serif 4" w:cs="source serif 4" w:ascii="source serif 4" w:hAnsi="source serif 4"/>
          <w:color w:val="000000"/>
          <w:sz w:val="21"/>
        </w:rPr>
        <w:t xml:space="preserve">Near success states: You do not need to set everything up now.</w:t>
      </w:r>
    </w:p>
    <w:p>
      <w:pPr>
        <w:spacing w:line="360" w:before="315" w:after="105" w:lineRule="auto"/>
        <w:ind w:left="-30"/>
        <w:jc w:val="left"/>
      </w:pPr>
      <w:bookmarkStart w:id="21" w:name="phase_7_measurement"/>
      <w:r>
        <w:rPr>
          <w:rFonts w:eastAsia="source serif 4" w:cs="source serif 4" w:ascii="source serif 4" w:hAnsi="source serif 4"/>
          <w:b/>
          <w:color w:val="000000"/>
          <w:sz w:val="24"/>
        </w:rPr>
        <w:t xml:space="preserve">Phase 7: Measurement</w:t>
      </w:r>
      <w:bookmarkEnd w:id="21"/>
    </w:p>
    <w:p>
      <w:pPr>
        <w:spacing w:line="360" w:after="210" w:lineRule="auto"/>
      </w:pPr>
      <w:r>
        <w:rPr>
          <w:rFonts w:eastAsia="source serif 4" w:cs="source serif 4" w:ascii="source serif 4" w:hAnsi="source serif 4"/>
          <w:color w:val="000000"/>
        </w:rPr>
        <w:t xml:space="preserve">The product should be measured from first impression to first audio session. Onboarding and activation literature emphasizes tracking the path from signup to first meaningful value, not just page views.[cite:157][cite:158]</w:t>
      </w:r>
    </w:p>
    <w:p>
      <w:pPr>
        <w:spacing w:line="360" w:before="315" w:after="105" w:lineRule="auto"/>
        <w:ind w:left="-30"/>
        <w:jc w:val="left"/>
      </w:pPr>
      <w:bookmarkStart w:id="22" w:name="initial_metrics"/>
      <w:r>
        <w:rPr>
          <w:rFonts w:eastAsia="source serif 4" w:cs="source serif 4" w:ascii="source serif 4" w:hAnsi="source serif 4"/>
          <w:b/>
          <w:color w:val="000000"/>
          <w:sz w:val="24"/>
        </w:rPr>
        <w:t xml:space="preserve">Initial Metrics</w:t>
      </w:r>
      <w:bookmarkEnd w:id="22"/>
    </w:p>
    <w:p>
      <w:pPr>
        <w:numPr>
          <w:ilvl w:val="0"/>
          <w:numId w:val="12"/>
        </w:numPr>
        <w:spacing w:line="360" w:before="105" w:after="105" w:lineRule="auto"/>
      </w:pPr>
      <w:r>
        <w:rPr>
          <w:rFonts w:eastAsia="source serif 4" w:cs="source serif 4" w:ascii="source serif 4" w:hAnsi="source serif 4"/>
          <w:color w:val="000000"/>
          <w:sz w:val="21"/>
        </w:rPr>
        <w:t xml:space="preserve">Hero CTA click rate</w:t>
      </w:r>
    </w:p>
    <w:p>
      <w:pPr>
        <w:numPr>
          <w:ilvl w:val="0"/>
          <w:numId w:val="12"/>
        </w:numPr>
        <w:spacing w:line="360" w:before="105" w:after="105" w:lineRule="auto"/>
      </w:pPr>
      <w:r>
        <w:rPr>
          <w:rFonts w:eastAsia="source serif 4" w:cs="source serif 4" w:ascii="source serif 4" w:hAnsi="source serif 4"/>
          <w:color w:val="000000"/>
          <w:sz w:val="21"/>
        </w:rPr>
        <w:t xml:space="preserve">Signup start rate</w:t>
      </w:r>
    </w:p>
    <w:p>
      <w:pPr>
        <w:numPr>
          <w:ilvl w:val="0"/>
          <w:numId w:val="12"/>
        </w:numPr>
        <w:spacing w:line="360" w:before="105" w:after="105" w:lineRule="auto"/>
      </w:pPr>
      <w:r>
        <w:rPr>
          <w:rFonts w:eastAsia="source serif 4" w:cs="source serif 4" w:ascii="source serif 4" w:hAnsi="source serif 4"/>
          <w:color w:val="000000"/>
          <w:sz w:val="21"/>
        </w:rPr>
        <w:t xml:space="preserve">Signup completion rate</w:t>
      </w:r>
    </w:p>
    <w:p>
      <w:pPr>
        <w:numPr>
          <w:ilvl w:val="0"/>
          <w:numId w:val="12"/>
        </w:numPr>
        <w:spacing w:line="360" w:before="105" w:after="105" w:lineRule="auto"/>
      </w:pPr>
      <w:r>
        <w:rPr>
          <w:rFonts w:eastAsia="source serif 4" w:cs="source serif 4" w:ascii="source serif 4" w:hAnsi="source serif 4"/>
          <w:color w:val="000000"/>
          <w:sz w:val="21"/>
        </w:rPr>
        <w:t xml:space="preserve">Upload start rate</w:t>
      </w:r>
    </w:p>
    <w:p>
      <w:pPr>
        <w:numPr>
          <w:ilvl w:val="0"/>
          <w:numId w:val="12"/>
        </w:numPr>
        <w:spacing w:line="360" w:before="105" w:after="105" w:lineRule="auto"/>
      </w:pPr>
      <w:r>
        <w:rPr>
          <w:rFonts w:eastAsia="source serif 4" w:cs="source serif 4" w:ascii="source serif 4" w:hAnsi="source serif 4"/>
          <w:color w:val="000000"/>
          <w:sz w:val="21"/>
        </w:rPr>
        <w:t xml:space="preserve">Upload completion rate</w:t>
      </w:r>
    </w:p>
    <w:p>
      <w:pPr>
        <w:numPr>
          <w:ilvl w:val="0"/>
          <w:numId w:val="12"/>
        </w:numPr>
        <w:spacing w:line="360" w:before="105" w:after="105" w:lineRule="auto"/>
      </w:pPr>
      <w:r>
        <w:rPr>
          <w:rFonts w:eastAsia="source serif 4" w:cs="source serif 4" w:ascii="source serif 4" w:hAnsi="source serif 4"/>
          <w:color w:val="000000"/>
          <w:sz w:val="21"/>
        </w:rPr>
        <w:t xml:space="preserve">Time to first playable audio</w:t>
      </w:r>
    </w:p>
    <w:p>
      <w:pPr>
        <w:numPr>
          <w:ilvl w:val="0"/>
          <w:numId w:val="12"/>
        </w:numPr>
        <w:spacing w:line="360" w:before="105" w:after="105" w:lineRule="auto"/>
      </w:pPr>
      <w:r>
        <w:rPr>
          <w:rFonts w:eastAsia="source serif 4" w:cs="source serif 4" w:ascii="source serif 4" w:hAnsi="source serif 4"/>
          <w:color w:val="000000"/>
          <w:sz w:val="21"/>
        </w:rPr>
        <w:t xml:space="preserve">Standard vs HD selection rate</w:t>
      </w:r>
    </w:p>
    <w:p>
      <w:pPr>
        <w:numPr>
          <w:ilvl w:val="0"/>
          <w:numId w:val="12"/>
        </w:numPr>
        <w:spacing w:line="360" w:before="105" w:after="105" w:lineRule="auto"/>
      </w:pPr>
      <w:r>
        <w:rPr>
          <w:rFonts w:eastAsia="source serif 4" w:cs="source serif 4" w:ascii="source serif 4" w:hAnsi="source serif 4"/>
          <w:color w:val="000000"/>
          <w:sz w:val="21"/>
        </w:rPr>
        <w:t xml:space="preserve">HD abandonment rate</w:t>
      </w:r>
    </w:p>
    <w:p>
      <w:pPr>
        <w:numPr>
          <w:ilvl w:val="0"/>
          <w:numId w:val="12"/>
        </w:numPr>
        <w:spacing w:line="360" w:before="105" w:after="105" w:lineRule="auto"/>
      </w:pPr>
      <w:r>
        <w:rPr>
          <w:rFonts w:eastAsia="source serif 4" w:cs="source serif 4" w:ascii="source serif 4" w:hAnsi="source serif 4"/>
          <w:color w:val="000000"/>
          <w:sz w:val="21"/>
        </w:rPr>
        <w:t xml:space="preserve">First listening session completion rate</w:t>
      </w:r>
    </w:p>
    <w:p>
      <w:pPr>
        <w:spacing w:line="360" w:before="315" w:after="105" w:lineRule="auto"/>
        <w:ind w:left="-30"/>
        <w:jc w:val="left"/>
      </w:pPr>
      <w:bookmarkStart w:id="23" w:name="build_order"/>
      <w:r>
        <w:rPr>
          <w:rFonts w:eastAsia="source serif 4" w:cs="source serif 4" w:ascii="source serif 4" w:hAnsi="source serif 4"/>
          <w:b/>
          <w:color w:val="000000"/>
          <w:sz w:val="24"/>
        </w:rPr>
        <w:t xml:space="preserve">Build Order</w:t>
      </w:r>
      <w:bookmarkEnd w:id="23"/>
    </w:p>
    <w:p>
      <w:pPr>
        <w:numPr>
          <w:ilvl w:val="0"/>
          <w:numId w:val="13"/>
        </w:numPr>
        <w:spacing w:line="360" w:before="105" w:after="105" w:lineRule="auto"/>
      </w:pPr>
      <w:r>
        <w:rPr>
          <w:rFonts w:eastAsia="source serif 4" w:cs="source serif 4" w:ascii="source serif 4" w:hAnsi="source serif 4"/>
          <w:color w:val="000000"/>
          <w:sz w:val="21"/>
        </w:rPr>
        <w:t xml:space="preserve">Landing page clarity</w:t>
      </w:r>
    </w:p>
    <w:p>
      <w:pPr>
        <w:numPr>
          <w:ilvl w:val="0"/>
          <w:numId w:val="13"/>
        </w:numPr>
        <w:spacing w:line="360" w:before="105" w:after="105" w:lineRule="auto"/>
      </w:pPr>
      <w:r>
        <w:rPr>
          <w:rFonts w:eastAsia="source serif 4" w:cs="source serif 4" w:ascii="source serif 4" w:hAnsi="source serif 4"/>
          <w:color w:val="000000"/>
          <w:sz w:val="21"/>
        </w:rPr>
        <w:t xml:space="preserve">Signup simplification</w:t>
      </w:r>
    </w:p>
    <w:p>
      <w:pPr>
        <w:numPr>
          <w:ilvl w:val="0"/>
          <w:numId w:val="13"/>
        </w:numPr>
        <w:spacing w:line="360" w:before="105" w:after="105" w:lineRule="auto"/>
      </w:pPr>
      <w:r>
        <w:rPr>
          <w:rFonts w:eastAsia="source serif 4" w:cs="source serif 4" w:ascii="source serif 4" w:hAnsi="source serif 4"/>
          <w:color w:val="000000"/>
          <w:sz w:val="21"/>
        </w:rPr>
        <w:t xml:space="preserve">First upload flow</w:t>
      </w:r>
    </w:p>
    <w:p>
      <w:pPr>
        <w:numPr>
          <w:ilvl w:val="0"/>
          <w:numId w:val="13"/>
        </w:numPr>
        <w:spacing w:line="360" w:before="105" w:after="105" w:lineRule="auto"/>
      </w:pPr>
      <w:r>
        <w:rPr>
          <w:rFonts w:eastAsia="source serif 4" w:cs="source serif 4" w:ascii="source serif 4" w:hAnsi="source serif 4"/>
          <w:color w:val="000000"/>
          <w:sz w:val="21"/>
        </w:rPr>
        <w:t xml:space="preserve">Voice state design</w:t>
      </w:r>
    </w:p>
    <w:p>
      <w:pPr>
        <w:numPr>
          <w:ilvl w:val="0"/>
          <w:numId w:val="13"/>
        </w:numPr>
        <w:spacing w:line="360" w:before="105" w:after="105" w:lineRule="auto"/>
      </w:pPr>
      <w:r>
        <w:rPr>
          <w:rFonts w:eastAsia="source serif 4" w:cs="source serif 4" w:ascii="source serif 4" w:hAnsi="source serif 4"/>
          <w:color w:val="000000"/>
          <w:sz w:val="21"/>
        </w:rPr>
        <w:t xml:space="preserve">Sound toggle and approved cues</w:t>
      </w:r>
    </w:p>
    <w:p>
      <w:pPr>
        <w:numPr>
          <w:ilvl w:val="0"/>
          <w:numId w:val="13"/>
        </w:numPr>
        <w:spacing w:line="360" w:before="105" w:after="105" w:lineRule="auto"/>
      </w:pPr>
      <w:r>
        <w:rPr>
          <w:rFonts w:eastAsia="source serif 4" w:cs="source serif 4" w:ascii="source serif 4" w:hAnsi="source serif 4"/>
          <w:color w:val="000000"/>
          <w:sz w:val="21"/>
        </w:rPr>
        <w:t xml:space="preserve">Analytics instrumentation</w:t>
      </w:r>
    </w:p>
    <w:p>
      <w:pPr>
        <w:spacing w:line="360" w:before="315" w:after="105" w:lineRule="auto"/>
        <w:ind w:left="-30"/>
        <w:jc w:val="left"/>
      </w:pPr>
      <w:bookmarkStart w:id="24" w:name="success_criteria"/>
      <w:r>
        <w:rPr>
          <w:rFonts w:eastAsia="source serif 4" w:cs="source serif 4" w:ascii="source serif 4" w:hAnsi="source serif 4"/>
          <w:b/>
          <w:color w:val="000000"/>
          <w:sz w:val="24"/>
        </w:rPr>
        <w:t xml:space="preserve">Success Criteria</w:t>
      </w:r>
      <w:bookmarkEnd w:id="24"/>
    </w:p>
    <w:p>
      <w:pPr>
        <w:spacing w:line="360" w:after="210" w:lineRule="auto"/>
      </w:pPr>
      <w:r>
        <w:rPr>
          <w:rFonts w:eastAsia="source serif 4" w:cs="source serif 4" w:ascii="source serif 4" w:hAnsi="source serif 4"/>
          <w:color w:val="000000"/>
        </w:rPr>
        <w:t xml:space="preserve">The first release is successful when a new user can understand the promise, sign up without friction, upload a document, and reach audio playback without confusion. The experience should feel calming, obvious, and trustworthy rather than clever, flashy, or overloaded.[cite:116][cite:115][cite:174]</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2026-07-15T15:29:59.344Z</dcterms:created>
  <dcterms:modified xsi:type="dcterms:W3CDTF">2026-07-15T15:29:59.344Z</dcterms:modified>
</cp:coreProperties>
</file>