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rFonts w:ascii="微软雅黑" w:cs="微软雅黑" w:eastAsia="微软雅黑" w:hAnsi="微软雅黑"/>
          <w:b/>
          <w:bCs/>
          <w:color w:val="1A5276"/>
          <w:sz w:val="52"/>
          <w:szCs w:val="52"/>
        </w:rPr>
        <w:t xml:space="preserve">光的直线传播实验</w:t>
      </w:r>
    </w:p>
    <w:p>
      <w:pPr>
        <w:spacing w:after="120" w:before="6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566573"/>
          <w:sz w:val="21"/>
          <w:szCs w:val="21"/>
        </w:rPr>
        <w:t xml:space="preserve">初中物理 · 光学部分 · 可视化教学实验</w:t>
      </w:r>
    </w:p>
    <w:p>
      <w:pPr>
        <w:spacing w:after="100"/>
      </w:pPr>
    </w:p>
    <w:tbl>
      <w:tblPr>
        <w:tblW w:type="pct" w:w="100%"/>
        <w:tblBorders>
          <w:top w:val="single" w:color="3498DB" w:sz="2"/>
          <w:left w:val="single" w:color="3498DB" w:sz="2"/>
          <w:bottom w:val="single" w:color="3498DB" w:sz="2"/>
          <w:right w:val="single" w:color="3498D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3498DB" w:sz="2"/>
              <w:left w:val="single" w:color="3498DB" w:sz="2"/>
              <w:bottom w:val="single" w:color="3498DB" w:sz="2"/>
              <w:right w:val="single" w:color="3498DB" w:sz="2"/>
            </w:tcBorders>
            <w:shd w:fill="EBF5FB" w:val="clear"/>
          </w:tcPr>
          <w:p>
            <w:pPr>
              <w:spacing w:after="150" w:before="1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A5276"/>
                <w:sz w:val="24"/>
                <w:szCs w:val="24"/>
              </w:rPr>
              <w:t xml:space="preserve">🔬 核心原理：</w:t>
            </w:r>
            <w:r>
              <w:rPr>
                <w:rFonts w:ascii="微软雅黑" w:cs="微软雅黑" w:eastAsia="微软雅黑" w:hAnsi="微软雅黑"/>
                <w:b/>
                <w:bCs/>
                <w:color w:val="1A5276"/>
                <w:sz w:val="22"/>
                <w:szCs w:val="22"/>
              </w:rPr>
              <w:t xml:space="preserve">光在同种均匀介质中沿直线传播 —— 这是几何光学的基本定律</w:t>
            </w:r>
          </w:p>
        </w:tc>
      </w:tr>
    </w:tbl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📐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核心原理详解</w:t>
      </w:r>
    </w:p>
    <w:tbl>
      <w:tblPr>
        <w:tblW w:type="pct" w:w="100%"/>
        <w:tblBorders>
          <w:top w:val="single" w:color="F39C12" w:sz="3"/>
          <w:left w:val="single" w:color="F39C12" w:sz="3"/>
          <w:bottom w:val="single" w:color="F39C12" w:sz="3"/>
          <w:right w:val="single" w:color="F39C12" w:sz="3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39C12" w:sz="3"/>
              <w:left w:val="single" w:color="F39C12" w:sz="3"/>
              <w:bottom w:val="single" w:color="F39C12" w:sz="3"/>
              <w:right w:val="single" w:color="F39C12" w:sz="3"/>
            </w:tcBorders>
            <w:shd w:fill="FEF9E7" w:val="clear"/>
          </w:tcPr>
          <w:p>
            <w:pPr>
              <w:spacing w:after="150" w:before="15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8"/>
                <w:szCs w:val="28"/>
              </w:rPr>
              <w:t xml:space="preserve">光速 c = 3×10⁸ m/s（真空中）</w:t>
            </w:r>
          </w:p>
        </w:tc>
      </w:tr>
    </w:tbl>
    <w:p>
      <w:pPr>
        <w:spacing w:after="100"/>
      </w:pPr>
    </w:p>
    <w:p>
      <w:pPr>
        <w:spacing w:after="12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光沿直线传播的条件：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① 同种介质（不跨越不同介质的界面）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② 均匀介质（介质密度处处相同）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③ 不透明障碍物边缘会发生衍射（初中阶段忽略）</w:t>
      </w:r>
    </w:p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🌟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三大经典现象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现象</w:t>
            </w:r>
          </w:p>
        </w:tc>
        <w:tc>
          <w:tcPr>
            <w:tcW w:type="pct" w:w="35%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原理说明</w:t>
            </w:r>
          </w:p>
        </w:tc>
        <w:tc>
          <w:tcPr>
            <w:tcW w:type="pct" w:w="25%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关键条件</w:t>
            </w:r>
          </w:p>
        </w:tc>
        <w:tc>
          <w:tcPr>
            <w:tcW w:type="pct" w:w="22%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生活实例</w:t>
            </w:r>
          </w:p>
        </w:tc>
      </w:tr>
      <w:tr>
        <w:tc>
          <w:tcPr>
            <w:tcW w:type="pct" w:w="18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小孔成像*</w:t>
            </w:r>
          </w:p>
        </w:tc>
        <w:tc>
          <w:tcPr>
            <w:tcW w:type="pct" w:w="3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光通过小孔后在屏上形成倒立实像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小孔足够小（相对物体）</w:t>
            </w:r>
          </w:p>
        </w:tc>
        <w:tc>
          <w:tcPr>
            <w:tcW w:type="pct" w:w="2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树荫下的圆形光斑</w:t>
            </w:r>
          </w:p>
        </w:tc>
      </w:tr>
      <w:tr>
        <w:tc>
          <w:tcPr>
            <w:tcW w:type="pct" w:w="18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影子形成*</w:t>
            </w:r>
          </w:p>
        </w:tc>
        <w:tc>
          <w:tcPr>
            <w:tcW w:type="pct" w:w="3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光被不透明物体遮挡形成暗区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光源 + 不透明物体 + 屏</w:t>
            </w:r>
          </w:p>
        </w:tc>
        <w:tc>
          <w:tcPr>
            <w:tcW w:type="pct" w:w="2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手影游戏、皮影戏</w:t>
            </w:r>
          </w:p>
        </w:tc>
      </w:tr>
      <w:tr>
        <w:tc>
          <w:tcPr>
            <w:tcW w:type="pct" w:w="18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日食月食*</w:t>
            </w:r>
          </w:p>
        </w:tc>
        <w:tc>
          <w:tcPr>
            <w:tcW w:type="pct" w:w="3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天体遮挡太阳光形成的影子现象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三体共线</w:t>
            </w:r>
          </w:p>
        </w:tc>
        <w:tc>
          <w:tcPr>
            <w:tcW w:type="pct" w:w="2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日全食、月全食</w:t>
            </w:r>
          </w:p>
        </w:tc>
      </w:tr>
    </w:tbl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📊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小孔成像参数关系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pct" w:w="15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符号</w:t>
            </w:r>
          </w:p>
        </w:tc>
        <w:tc>
          <w:tcPr>
            <w:tcW w:type="pct" w:w="35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与像大小的关系</w:t>
            </w:r>
          </w:p>
        </w:tc>
        <w:tc>
          <w:tcPr>
            <w:tcW w:type="pct" w:w="3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调节方法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物距</w:t>
            </w:r>
          </w:p>
        </w:tc>
        <w:tc>
          <w:tcPr>
            <w:tcW w:type="pct" w:w="1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u</w:t>
            </w:r>
          </w:p>
        </w:tc>
        <w:tc>
          <w:tcPr>
            <w:tcW w:type="pct" w:w="3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物距越大，像越小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移动物体远离小孔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像距（屏距）</w:t>
            </w:r>
          </w:p>
        </w:tc>
        <w:tc>
          <w:tcPr>
            <w:tcW w:type="pct" w:w="1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v</w:t>
            </w:r>
          </w:p>
        </w:tc>
        <w:tc>
          <w:tcPr>
            <w:tcW w:type="pct" w:w="3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像距越大，像越大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移动光屏远离小孔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物体高度</w:t>
            </w:r>
          </w:p>
        </w:tc>
        <w:tc>
          <w:tcPr>
            <w:tcW w:type="pct" w:w="1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H</w:t>
            </w:r>
          </w:p>
        </w:tc>
        <w:tc>
          <w:tcPr>
            <w:tcW w:type="pct" w:w="3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物体越大，像越大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更换不同大小物体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像的高度</w:t>
            </w:r>
          </w:p>
        </w:tc>
        <w:tc>
          <w:tcPr>
            <w:tcW w:type="pct" w:w="1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h</w:t>
            </w:r>
          </w:p>
        </w:tc>
        <w:tc>
          <w:tcPr>
            <w:tcW w:type="pct" w:w="3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h = H × v/u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综合调节物距和像距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小孔直径</w:t>
            </w:r>
          </w:p>
        </w:tc>
        <w:tc>
          <w:tcPr>
            <w:tcW w:type="pct" w:w="1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d</w:t>
            </w:r>
          </w:p>
        </w:tc>
        <w:tc>
          <w:tcPr>
            <w:tcW w:type="pct" w:w="3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d 越小像越清晰但越暗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调节光圈大小</w:t>
            </w:r>
          </w:p>
        </w:tc>
      </w:tr>
    </w:tbl>
    <w:p>
      <w:r>
        <w:br w:type="page"/>
      </w: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🔬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小孔成像公式</w:t>
      </w:r>
    </w:p>
    <w:tbl>
      <w:tblPr>
        <w:tblW w:type="pct" w:w="100%"/>
        <w:tblBorders>
          <w:top w:val="single" w:color="F39C12" w:sz="3"/>
          <w:left w:val="single" w:color="F39C12" w:sz="3"/>
          <w:bottom w:val="single" w:color="F39C12" w:sz="3"/>
          <w:right w:val="single" w:color="F39C12" w:sz="3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39C12" w:sz="3"/>
              <w:left w:val="single" w:color="F39C12" w:sz="3"/>
              <w:bottom w:val="single" w:color="F39C12" w:sz="3"/>
              <w:right w:val="single" w:color="F39C12" w:sz="3"/>
            </w:tcBorders>
            <w:shd w:fill="FEF9E7" w:val="clear"/>
          </w:tcPr>
          <w:p>
            <w:pPr>
              <w:spacing w:after="150" w:before="15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8"/>
                <w:szCs w:val="28"/>
              </w:rPr>
              <w:t xml:space="preserve">h/H = v/u （像高/物高 = 像距/物距）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27AE60" w:sz="2"/>
          <w:left w:val="single" w:color="27AE60" w:sz="2"/>
          <w:bottom w:val="single" w:color="27AE60" w:sz="2"/>
          <w:right w:val="single" w:color="27AE6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AFAF1" w:val="clear"/>
          </w:tcPr>
          <w:p>
            <w:pPr>
              <w:spacing w:after="100" w:before="100"/>
            </w:pPr>
            <w:r>
              <w:rPr>
                <w:rFonts w:ascii="微软雅黑" w:cs="微软雅黑" w:eastAsia="微软雅黑" w:hAnsi="微软雅黑"/>
                <w:color w:val="27AE60"/>
                <w:sz w:val="20"/>
                <w:szCs w:val="20"/>
              </w:rPr>
              <w:t xml:space="preserve">💡 小孔成像的像一定是倒立的实像，与小孔形状无关，只与物的形状有关</w:t>
            </w:r>
          </w:p>
        </w:tc>
      </w:tr>
    </w:tbl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🌑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影子的形成规律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光源类型</w:t>
            </w:r>
          </w:p>
        </w:tc>
        <w:tc>
          <w:tcPr>
            <w:tcW w:type="pct" w:w="25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影子特征</w:t>
            </w:r>
          </w:p>
        </w:tc>
        <w:tc>
          <w:tcPr>
            <w:tcW w:type="pct" w:w="25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本影</w:t>
            </w:r>
          </w:p>
        </w:tc>
        <w:tc>
          <w:tcPr>
            <w:tcW w:type="pct" w:w="3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半影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点光源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轮廓清晰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有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面光源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轮廓模糊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有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有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光源靠近物体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影子变大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本影区扩大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半影区扩大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光源远离物体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影子变小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本影区缩小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半影区缩小</w:t>
            </w:r>
          </w:p>
        </w:tc>
      </w:tr>
    </w:tbl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🌍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日食与月食对比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对比项</w:t>
            </w:r>
          </w:p>
        </w:tc>
        <w:tc>
          <w:tcPr>
            <w:tcW w:type="pct" w:w="40%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日食</w:t>
            </w:r>
          </w:p>
        </w:tc>
        <w:tc>
          <w:tcPr>
            <w:tcW w:type="pct" w:w="40%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月食</w:t>
            </w:r>
          </w:p>
        </w:tc>
      </w:tr>
      <w:tr>
        <w:tc>
          <w:tcPr>
            <w:tcW w:type="pct" w:w="2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遮挡关系*</w:t>
            </w:r>
          </w:p>
        </w:tc>
        <w:tc>
          <w:tcPr>
            <w:tcW w:type="pct" w:w="4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月球遮挡太阳光*</w:t>
            </w:r>
          </w:p>
        </w:tc>
        <w:tc>
          <w:tcPr>
            <w:tcW w:type="pct" w:w="4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地球遮挡太阳光*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三者位置</w:t>
            </w:r>
          </w:p>
        </w:tc>
        <w:tc>
          <w:tcPr>
            <w:tcW w:type="pct" w:w="4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日—月—地</w:t>
            </w:r>
          </w:p>
        </w:tc>
        <w:tc>
          <w:tcPr>
            <w:tcW w:type="pct" w:w="4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日—地—月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观测者位置</w:t>
            </w:r>
          </w:p>
        </w:tc>
        <w:tc>
          <w:tcPr>
            <w:tcW w:type="pct" w:w="4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地球上月球影子区域</w:t>
            </w:r>
          </w:p>
        </w:tc>
        <w:tc>
          <w:tcPr>
            <w:tcW w:type="pct" w:w="4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地球上夜半球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类型</w:t>
            </w:r>
          </w:p>
        </w:tc>
        <w:tc>
          <w:tcPr>
            <w:tcW w:type="pct" w:w="4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日全食/日偏食/日环食</w:t>
            </w:r>
          </w:p>
        </w:tc>
        <w:tc>
          <w:tcPr>
            <w:tcW w:type="pct" w:w="4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月全食/月偏食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持续时间</w:t>
            </w:r>
          </w:p>
        </w:tc>
        <w:tc>
          <w:tcPr>
            <w:tcW w:type="pct" w:w="4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较短（几分钟）</w:t>
            </w:r>
          </w:p>
        </w:tc>
        <w:tc>
          <w:tcPr>
            <w:tcW w:type="pct" w:w="4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较长（可达数小时）</w:t>
            </w:r>
          </w:p>
        </w:tc>
      </w:tr>
    </w:tbl>
    <w:p>
      <w:r>
        <w:br w:type="page"/>
      </w: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💻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可开发可视化功能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▸ 可调小孔直径大小（光圈滑块），实时观察清晰度与亮度变化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▸ 可调物距和屏距，实时观察像的大小变化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▸ 可切换有无介质杂质（烟雾/灰尘），展示光的散射效果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▸ 日食月食三维模拟，可旋转视角观察遮挡关系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▸ 点光源与面光源切换，对比影子本影/半影区域</w:t>
      </w:r>
    </w:p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🎯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可视化演示要点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🔵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调节小孔大小：小孔小时像清晰但暗，小孔大时像模糊但亮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🟢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改变物距屏距：用数值标签实时显示 h/H = v/u 的比值关系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🟡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切换点/面光源：用颜色区分本影（深色）和半影（浅色）区域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🔴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日食模拟：三体运动动画，标注全食带、偏食区域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🟣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加入烟雾粒子：展示光在烟雾中的散射，证明光沿直线传播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⚪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激光笔效果：在暗室中展示激光束的直线路径</w:t>
      </w:r>
    </w:p>
    <w:p>
      <w:r>
        <w:br w:type="page"/>
      </w: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🖱️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交互操作指南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pct" w:w="3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pct" w:w="5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效果说明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调节小孔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拖拽光圈滑块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改变小孔直径，观察成像清晰度与亮度变化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移动物体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拖拽物体图标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改变物距 u，像的大小实时变化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移动光屏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拖拽光屏图标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改变像距 v，验证 h/H = v/u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切换光源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点击光源切换按钮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在点光源和面光源之间切换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添加烟雾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点击"烟雾"开关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在光路中添加烟雾粒子，显示光散射效果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日食模式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切换到"天文"场景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进入日食/月食模拟，可旋转观察视角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重置实验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点击"重置"按钮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恢复默认参数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E74C3C" w:sz="2"/>
          <w:left w:val="single" w:color="E74C3C" w:sz="2"/>
          <w:bottom w:val="single" w:color="E74C3C" w:sz="2"/>
          <w:right w:val="single" w:color="E74C3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</w:tcPr>
          <w:p>
            <w:pPr>
              <w:spacing w:after="100" w:before="100"/>
            </w:pPr>
            <w:r>
              <w:rPr>
                <w:rFonts w:ascii="微软雅黑" w:cs="微软雅黑" w:eastAsia="微软雅黑" w:hAnsi="微软雅黑"/>
                <w:color w:val="E74C3C"/>
                <w:sz w:val="20"/>
                <w:szCs w:val="20"/>
              </w:rPr>
              <w:t xml:space="preserve">⚠️ 注意：小孔成像要求小孔足够小；如果小孔太大，每个物点在屏上形成光斑而非像点，像将变得模糊</w:t>
            </w:r>
          </w:p>
        </w:tc>
      </w:tr>
    </w:tbl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⚡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实验注意事项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1. 小孔成像实验中，小孔直径应在 1-3mm 之间效果最佳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2. 光屏应使用白色半透明材料（如毛玻璃），便于观察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3. 实验环境宜在较暗的室内进行，以提高对比度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4. 日食观测严禁直视太阳，应使用投影法间接观测</w:t>
      </w:r>
    </w:p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🧠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实验拓展思考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Q1：为什么树荫下的光斑是圆形的？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E86C1"/>
          <w:sz w:val="21"/>
          <w:szCs w:val="21"/>
        </w:rPr>
        <w:t xml:space="preserve">→ 树叶缝隙相当于小孔，太阳光通过小孔成像，像的形状与光源（太阳）相同，为圆形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Q2：小孔成像中像的形状与小孔形状有关吗？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E86C1"/>
          <w:sz w:val="21"/>
          <w:szCs w:val="21"/>
        </w:rPr>
        <w:t xml:space="preserve">→ 无关。只要小孔足够小，像的形状只由物体形状决定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Q3：光速在水中、玻璃中与真空中相比如何？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E86C1"/>
          <w:sz w:val="21"/>
          <w:szCs w:val="21"/>
        </w:rPr>
        <w:t xml:space="preserve">→ 真空中最快，水中约为真空的 3/4，玻璃中约为真空的 2/3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2026-07-15T09:09:14.818Z</dcterms:created>
  <dcterms:modified xsi:type="dcterms:W3CDTF">2026-07-15T09:09:14.818Z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