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2AA3B" w14:textId="138B2F8D" w:rsidR="009804A7" w:rsidRDefault="00A66E6B">
      <w:pPr>
        <w:pStyle w:val="papertitle"/>
      </w:pPr>
      <w:r>
        <w:t xml:space="preserve">Cloud-Native User and Entity </w:t>
      </w:r>
      <w:proofErr w:type="spellStart"/>
      <w:r>
        <w:t>Behaviour</w:t>
      </w:r>
      <w:proofErr w:type="spellEnd"/>
      <w:r>
        <w:t xml:space="preserve"> Analytics for Insider-Threat Detection </w:t>
      </w:r>
    </w:p>
    <w:p w14:paraId="45F95FDE" w14:textId="77777777" w:rsidR="009804A7" w:rsidRDefault="00A66E6B">
      <w:pPr>
        <w:pStyle w:val="author"/>
      </w:pPr>
      <w:r>
        <w:t>Z.C Yap</w:t>
      </w:r>
      <w:r>
        <w:rPr>
          <w:vertAlign w:val="superscript"/>
        </w:rPr>
        <w:t>1</w:t>
      </w:r>
      <w:r>
        <w:t xml:space="preserve"> and Firdaus Sahran</w:t>
      </w:r>
      <w:r>
        <w:rPr>
          <w:vertAlign w:val="superscript"/>
        </w:rPr>
        <w:t>1,2</w:t>
      </w:r>
    </w:p>
    <w:p w14:paraId="0ADF979A" w14:textId="77777777" w:rsidR="009804A7" w:rsidRDefault="00A66E6B">
      <w:pPr>
        <w:pStyle w:val="address"/>
      </w:pPr>
      <w:r>
        <w:rPr>
          <w:vertAlign w:val="superscript"/>
        </w:rPr>
        <w:t>1</w:t>
      </w:r>
      <w:r>
        <w:t xml:space="preserve"> Faculty of Computer Science and Information Technology, Universiti Malaya, 50603 Kuala Lumpur, Malaysia</w:t>
      </w:r>
    </w:p>
    <w:p w14:paraId="3EC79B27" w14:textId="77777777" w:rsidR="009804A7" w:rsidRDefault="00A66E6B">
      <w:pPr>
        <w:pStyle w:val="address"/>
      </w:pPr>
      <w:r>
        <w:rPr>
          <w:vertAlign w:val="superscript"/>
        </w:rPr>
        <w:t>2</w:t>
      </w:r>
      <w:r>
        <w:t xml:space="preserve"> Centre of Research for Cyber Security and Network, Universiti Malaya, 50603 Kuala Lumpur, Malaysia</w:t>
      </w:r>
    </w:p>
    <w:p w14:paraId="2649B2EB" w14:textId="6274EE04" w:rsidR="00BA4E00" w:rsidRPr="00BA4E00" w:rsidRDefault="00A66E6B" w:rsidP="00BA4E00">
      <w:pPr>
        <w:pStyle w:val="abstract"/>
        <w:ind w:firstLine="0"/>
        <w:rPr>
          <w:b/>
          <w:bCs/>
        </w:rPr>
      </w:pPr>
      <w:r w:rsidRPr="00BA4E00">
        <w:rPr>
          <w:b/>
          <w:bCs/>
        </w:rPr>
        <w:t>Abstract</w:t>
      </w:r>
    </w:p>
    <w:p w14:paraId="0562B048" w14:textId="7461AE9F" w:rsidR="009804A7" w:rsidRDefault="00A66E6B" w:rsidP="00BA4E00">
      <w:pPr>
        <w:pStyle w:val="abstract"/>
        <w:ind w:firstLine="0"/>
      </w:pPr>
      <w:r>
        <w:t xml:space="preserve">Cloud adoption has dissolved the traditional network perimeter and amplified the risk of insider threats — abuse committed with legitimate credentials that signature-based </w:t>
      </w:r>
      <w:proofErr w:type="spellStart"/>
      <w:r>
        <w:t>defences</w:t>
      </w:r>
      <w:proofErr w:type="spellEnd"/>
      <w:r>
        <w:t xml:space="preserve"> are structurally blind to. This paper presents a cloud-native User and Entity </w:t>
      </w:r>
      <w:proofErr w:type="spellStart"/>
      <w:r>
        <w:t>Behaviour</w:t>
      </w:r>
      <w:proofErr w:type="spellEnd"/>
      <w:r>
        <w:t xml:space="preserve"> Analytics (UEBA) platform that detects insider activity, account compromise and data exfiltration without any labelled attack data. Heterogeneous activity logs from four cloud sources — AWS CloudTrail, Microsoft Azure AD sign-ins, Cloudflare Access and GitHub audit events — are </w:t>
      </w:r>
      <w:proofErr w:type="spellStart"/>
      <w:r>
        <w:t>normalised</w:t>
      </w:r>
      <w:proofErr w:type="spellEnd"/>
      <w:r>
        <w:t xml:space="preserve"> into a single eight-field schema. Per-user </w:t>
      </w:r>
      <w:proofErr w:type="spellStart"/>
      <w:r>
        <w:t>behavioural</w:t>
      </w:r>
      <w:proofErr w:type="spellEnd"/>
      <w:r>
        <w:t xml:space="preserve"> baselines are built from 30-day rolling statistics over 71 engineered </w:t>
      </w:r>
      <w:r>
        <w:t>features. The final detector is a deep autoencoder trained only on normal user-days; its reconstruction error is the risk score, while an Isolation Forest, a rule scorer and a six-signal rarity scorer (including a geo-rarity flag derived from Cloudflare country data) are retained as interpretable baselines. Every alert is explained through SHAP feature attribution and a natural-language large-language-model assistant. On the CERT r4.2 benchmark (1,000 users, 70 insiders) the autoencoder attains AUROC 0.976,</w:t>
      </w:r>
      <w:r>
        <w:t xml:space="preserve"> AUPRC 0.851 and F1 0.787 — roughly 90% of supervised accuracy with zero labels — decisively outperforming the rule and isolation baselines. External validity is demonstrated on the </w:t>
      </w:r>
      <w:proofErr w:type="spellStart"/>
      <w:proofErr w:type="gramStart"/>
      <w:r>
        <w:t>flaws.cloud</w:t>
      </w:r>
      <w:proofErr w:type="spellEnd"/>
      <w:proofErr w:type="gramEnd"/>
      <w:r>
        <w:t xml:space="preserve"> AWS dataset (AUROC 0.724) and a streaming live-replay (AUROC 0.917). The system is </w:t>
      </w:r>
      <w:proofErr w:type="spellStart"/>
      <w:r>
        <w:t>containerised</w:t>
      </w:r>
      <w:proofErr w:type="spellEnd"/>
      <w:r>
        <w:t xml:space="preserve"> and deployed on Docker, Hugging Face Spaces and </w:t>
      </w:r>
      <w:proofErr w:type="spellStart"/>
      <w:r>
        <w:t>Vercel</w:t>
      </w:r>
      <w:proofErr w:type="spellEnd"/>
      <w:r>
        <w:t>.</w:t>
      </w:r>
    </w:p>
    <w:p w14:paraId="3611640B" w14:textId="77777777" w:rsidR="009804A7" w:rsidRDefault="00A66E6B">
      <w:pPr>
        <w:pStyle w:val="keywords"/>
      </w:pPr>
      <w:r>
        <w:t xml:space="preserve">Keywords: UEBA · Insider threat detection · Unsupervised learning · Autoencoder · Explainable AI · SHAP · Cloud security · Log </w:t>
      </w:r>
      <w:proofErr w:type="spellStart"/>
      <w:r>
        <w:t>normalisation</w:t>
      </w:r>
      <w:proofErr w:type="spellEnd"/>
      <w:r>
        <w:t xml:space="preserve"> · Anomaly detection · Large language models.</w:t>
      </w:r>
    </w:p>
    <w:p w14:paraId="5437C214" w14:textId="77777777" w:rsidR="009804A7" w:rsidRDefault="00A66E6B">
      <w:pPr>
        <w:pStyle w:val="heading1"/>
      </w:pPr>
      <w:r>
        <w:t>Introduction</w:t>
      </w:r>
    </w:p>
    <w:p w14:paraId="7A1D4910" w14:textId="77777777" w:rsidR="009804A7" w:rsidRDefault="00A66E6B">
      <w:pPr>
        <w:pStyle w:val="p1a"/>
      </w:pPr>
      <w:r>
        <w:t xml:space="preserve">The migration of enterprise data and services to public cloud platforms such as Amazon Web Services (AWS) and Microsoft Azure has delivered scalability and accessibility, but it has also dissolved the network perimeter on which classical </w:t>
      </w:r>
      <w:proofErr w:type="spellStart"/>
      <w:r>
        <w:t>defences</w:t>
      </w:r>
      <w:proofErr w:type="spellEnd"/>
      <w:r>
        <w:t xml:space="preserve"> depend. Insider threats — attacks originating from users who already hold legitimate credentials and </w:t>
      </w:r>
      <w:proofErr w:type="spellStart"/>
      <w:r>
        <w:t>authorised</w:t>
      </w:r>
      <w:proofErr w:type="spellEnd"/>
      <w:r>
        <w:t xml:space="preserve"> access — are among the most damaging consequences of this shift.</w:t>
      </w:r>
    </w:p>
    <w:p w14:paraId="5088D5CF" w14:textId="77777777" w:rsidR="009804A7" w:rsidRDefault="00A66E6B">
      <w:r>
        <w:lastRenderedPageBreak/>
        <w:t xml:space="preserve">According to the Verizon 2025 Data Breach Investigations Report, the human element is involved in roughly 60% of </w:t>
      </w:r>
      <w:proofErr w:type="gramStart"/>
      <w:r>
        <w:t>breaches, and</w:t>
      </w:r>
      <w:proofErr w:type="gramEnd"/>
      <w:r>
        <w:t xml:space="preserve"> stolen or misused credentials remain the dominant initial-access vector [1]. The </w:t>
      </w:r>
      <w:proofErr w:type="spellStart"/>
      <w:r>
        <w:t>Ponemon</w:t>
      </w:r>
      <w:proofErr w:type="spellEnd"/>
      <w:r>
        <w:t xml:space="preserve"> Institute estimates that </w:t>
      </w:r>
      <w:proofErr w:type="spellStart"/>
      <w:r>
        <w:t>organisations</w:t>
      </w:r>
      <w:proofErr w:type="spellEnd"/>
      <w:r>
        <w:t xml:space="preserve"> now spend an average of USD 17.4 million per year addressing insider-related risk, a 40% increase since 2019 [2]. Because insiders act within their granted privileges, signature- and rule-based tools such as intrusion-detection systems and SIEM platforms cannot reliably distinguish malicious from benign activity, and they generate excessive false positives when applie</w:t>
      </w:r>
      <w:r>
        <w:t>d across diverse user populations without per-user context.</w:t>
      </w:r>
    </w:p>
    <w:p w14:paraId="2C7F4EBA" w14:textId="77777777" w:rsidR="009804A7" w:rsidRDefault="00A66E6B">
      <w:r>
        <w:t xml:space="preserve">User and Entity </w:t>
      </w:r>
      <w:proofErr w:type="spellStart"/>
      <w:r>
        <w:t>Behaviour</w:t>
      </w:r>
      <w:proofErr w:type="spellEnd"/>
      <w:r>
        <w:t xml:space="preserve"> Analytics (UEBA) addresses these limitations by modelling each user's normal </w:t>
      </w:r>
      <w:proofErr w:type="spellStart"/>
      <w:r>
        <w:t>behaviour</w:t>
      </w:r>
      <w:proofErr w:type="spellEnd"/>
      <w:r>
        <w:t xml:space="preserve"> over time and flagging statistically significant deviations. However, prominent open-source UEBA and SIEM tools — </w:t>
      </w:r>
      <w:proofErr w:type="spellStart"/>
      <w:r>
        <w:t>Wazuh</w:t>
      </w:r>
      <w:proofErr w:type="spellEnd"/>
      <w:r>
        <w:t xml:space="preserve">, </w:t>
      </w:r>
      <w:proofErr w:type="spellStart"/>
      <w:r>
        <w:t>OpenUBA</w:t>
      </w:r>
      <w:proofErr w:type="spellEnd"/>
      <w:r>
        <w:t xml:space="preserve"> and HELK — remain largely rule-based, operate on a single log source, and provide no explanation for why a user is flagged, leaving analysts with an opaque score and no actionable rationale.</w:t>
      </w:r>
    </w:p>
    <w:p w14:paraId="2AFBF7F5" w14:textId="77777777" w:rsidR="009804A7" w:rsidRDefault="00A66E6B">
      <w:r>
        <w:t xml:space="preserve">This paper presents Argus, a cloud-native UEBA platform, and makes four contributions: (1) a </w:t>
      </w:r>
      <w:proofErr w:type="spellStart"/>
      <w:r>
        <w:t>normalisation</w:t>
      </w:r>
      <w:proofErr w:type="spellEnd"/>
      <w:r>
        <w:t xml:space="preserve"> layer that unifies four structurally distinct cloud log sources — AWS CloudTrail, Azure AD, Cloudflare Access and GitHub — into one eight-field schema; (2) a label-free detection pipeline whose final detector is a deep autoencoder, complemented by interpretable rarity signals; (3) per-alert explainability combining SHAP attribution with a large-language-model (LLM) analyst assistant; and (4) an evaluation that goes beyond the CERT benchmark to real cloud-breach data and a live streaming replay</w:t>
      </w:r>
      <w:r>
        <w:t>.</w:t>
      </w:r>
    </w:p>
    <w:p w14:paraId="1F64494C" w14:textId="77777777" w:rsidR="009804A7" w:rsidRDefault="00A66E6B">
      <w:pPr>
        <w:pStyle w:val="heading1"/>
      </w:pPr>
      <w:r>
        <w:t>Related Work</w:t>
      </w:r>
    </w:p>
    <w:p w14:paraId="655CB389" w14:textId="77777777" w:rsidR="009804A7" w:rsidRDefault="00A66E6B">
      <w:pPr>
        <w:pStyle w:val="p1a"/>
      </w:pPr>
      <w:r>
        <w:t xml:space="preserve">UEBA evolved from earlier User </w:t>
      </w:r>
      <w:proofErr w:type="spellStart"/>
      <w:r>
        <w:t>Behaviour</w:t>
      </w:r>
      <w:proofErr w:type="spellEnd"/>
      <w:r>
        <w:t xml:space="preserve"> Analytics systems, broadened to include non-human entities. Gartner </w:t>
      </w:r>
      <w:proofErr w:type="spellStart"/>
      <w:r>
        <w:t>formalised</w:t>
      </w:r>
      <w:proofErr w:type="spellEnd"/>
      <w:r>
        <w:t xml:space="preserve"> the category in 2015, </w:t>
      </w:r>
      <w:proofErr w:type="spellStart"/>
      <w:r>
        <w:t>recognising</w:t>
      </w:r>
      <w:proofErr w:type="spellEnd"/>
      <w:r>
        <w:t xml:space="preserve"> that monitoring only human activity left significant blind spots in </w:t>
      </w:r>
      <w:proofErr w:type="spellStart"/>
      <w:r>
        <w:t>organisational</w:t>
      </w:r>
      <w:proofErr w:type="spellEnd"/>
      <w:r>
        <w:t xml:space="preserve"> security posture [3].</w:t>
      </w:r>
    </w:p>
    <w:p w14:paraId="30608130" w14:textId="77777777" w:rsidR="009804A7" w:rsidRDefault="00A66E6B">
      <w:pPr>
        <w:pStyle w:val="heading2"/>
      </w:pPr>
      <w:r>
        <w:t>Unsupervised Anomaly Detection</w:t>
      </w:r>
    </w:p>
    <w:p w14:paraId="0148CFEE" w14:textId="77777777" w:rsidR="009804A7" w:rsidRDefault="00A66E6B">
      <w:pPr>
        <w:pStyle w:val="p1a"/>
      </w:pPr>
      <w:r>
        <w:t xml:space="preserve">Datta et al. demonstrated real-time insider-threat detection with unsupervised learning on the CERT dataset, showing competitive detection without labelled attacks [4]. Liu et al. introduced Isolation Forest, which partitions the feature space at random and isolates anomalies in fewer splits, making it well suited to high-dimensional </w:t>
      </w:r>
      <w:proofErr w:type="spellStart"/>
      <w:r>
        <w:t>behavioural</w:t>
      </w:r>
      <w:proofErr w:type="spellEnd"/>
      <w:r>
        <w:t xml:space="preserve"> data [5]. Autoencoder approaches instead learn to reconstruct normal </w:t>
      </w:r>
      <w:proofErr w:type="spellStart"/>
      <w:r>
        <w:t>behaviour</w:t>
      </w:r>
      <w:proofErr w:type="spellEnd"/>
      <w:r>
        <w:t>; inputs unseen during training yield elevated reconstruction error that serves directly as an anomaly score [6].</w:t>
      </w:r>
    </w:p>
    <w:p w14:paraId="615D877E" w14:textId="77777777" w:rsidR="009804A7" w:rsidRDefault="00A66E6B">
      <w:pPr>
        <w:pStyle w:val="heading2"/>
      </w:pPr>
      <w:r>
        <w:t>Explainable AI in Security</w:t>
      </w:r>
    </w:p>
    <w:p w14:paraId="5C23E927" w14:textId="77777777" w:rsidR="009804A7" w:rsidRDefault="00A66E6B">
      <w:pPr>
        <w:pStyle w:val="p1a"/>
      </w:pPr>
      <w:r>
        <w:t xml:space="preserve">Lundberg and Lee proposed SHAP, a unified framework that explains model predictions using Shapley values from cooperative game theory [7]. Applied to intrusion </w:t>
      </w:r>
      <w:r>
        <w:lastRenderedPageBreak/>
        <w:t>detection, SHAP attributions have been shown to improve analyst trust by exposing each feature's contribution in an interpretable form [8]. The EU AI Act (2024) mandates explainability for high-risk AI systems in security-critical domains, further motivating the integration of explainable AI [9].</w:t>
      </w:r>
    </w:p>
    <w:p w14:paraId="68B4768D" w14:textId="77777777" w:rsidR="009804A7" w:rsidRDefault="00A66E6B">
      <w:pPr>
        <w:pStyle w:val="heading2"/>
      </w:pPr>
      <w:r>
        <w:t>Limitations of Existing Tools</w:t>
      </w:r>
    </w:p>
    <w:p w14:paraId="6E34E2F3" w14:textId="77777777" w:rsidR="009804A7" w:rsidRDefault="00A66E6B">
      <w:pPr>
        <w:pStyle w:val="p1a"/>
      </w:pPr>
      <w:proofErr w:type="spellStart"/>
      <w:r>
        <w:t>Wazuh</w:t>
      </w:r>
      <w:proofErr w:type="spellEnd"/>
      <w:r>
        <w:t xml:space="preserve"> encodes its detection logic as static XML rules with no adaptive learning [10]. </w:t>
      </w:r>
      <w:proofErr w:type="spellStart"/>
      <w:r>
        <w:t>OpenUBA</w:t>
      </w:r>
      <w:proofErr w:type="spellEnd"/>
      <w:r>
        <w:t xml:space="preserve"> offers basic statistical profiling but no per-user rolling baselines, while HELK exposes Elasticsearch machine-learning primitives without a custom training pipeline or explanation layer. None of the evaluated tools </w:t>
      </w:r>
      <w:proofErr w:type="spellStart"/>
      <w:r>
        <w:t>normalise</w:t>
      </w:r>
      <w:proofErr w:type="spellEnd"/>
      <w:r>
        <w:t xml:space="preserve"> multiple cloud sources or provide per-alert explanations, which is precisely the gap this work addresses.</w:t>
      </w:r>
    </w:p>
    <w:p w14:paraId="7DF37B69" w14:textId="77777777" w:rsidR="009804A7" w:rsidRDefault="00A66E6B">
      <w:pPr>
        <w:pStyle w:val="heading1"/>
      </w:pPr>
      <w:r>
        <w:t>System Design and Methodology</w:t>
      </w:r>
    </w:p>
    <w:p w14:paraId="00D26428" w14:textId="77777777" w:rsidR="009804A7" w:rsidRDefault="00A66E6B">
      <w:pPr>
        <w:pStyle w:val="p1a"/>
      </w:pPr>
      <w:r>
        <w:t xml:space="preserve">Argus implements a decoupled, layered pipeline: log ingestion and </w:t>
      </w:r>
      <w:proofErr w:type="spellStart"/>
      <w:r>
        <w:t>normalisation</w:t>
      </w:r>
      <w:proofErr w:type="spellEnd"/>
      <w:r>
        <w:t xml:space="preserve">, feature engineering and baseline construction, label-free detection, rarity </w:t>
      </w:r>
      <w:proofErr w:type="spellStart"/>
      <w:r>
        <w:t>signalling</w:t>
      </w:r>
      <w:proofErr w:type="spellEnd"/>
      <w:r>
        <w:t>, explainability, and an analyst dashboard. Each layer communicates through a well-defined interface so that the detection and presentation layers remain entirely source-agnostic. The overall architecture and tool stack are shown in Fig. 1.</w:t>
      </w:r>
    </w:p>
    <w:p w14:paraId="2259137F" w14:textId="77777777" w:rsidR="009804A7" w:rsidRDefault="00A66E6B">
      <w:pPr>
        <w:pStyle w:val="image"/>
      </w:pPr>
      <w:r>
        <w:rPr>
          <w:noProof/>
        </w:rPr>
        <w:lastRenderedPageBreak/>
        <w:drawing>
          <wp:inline distT="0" distB="0" distL="0" distR="0" wp14:anchorId="3ADBEACB" wp14:editId="21CB3155">
            <wp:extent cx="4392930" cy="4298872"/>
            <wp:effectExtent l="0" t="0" r="0" b="0"/>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8"/>
                    <a:stretch>
                      <a:fillRect/>
                    </a:stretch>
                  </pic:blipFill>
                  <pic:spPr>
                    <a:xfrm>
                      <a:off x="0" y="0"/>
                      <a:ext cx="4392930" cy="4298872"/>
                    </a:xfrm>
                    <a:prstGeom prst="rect">
                      <a:avLst/>
                    </a:prstGeom>
                  </pic:spPr>
                </pic:pic>
              </a:graphicData>
            </a:graphic>
          </wp:inline>
        </w:drawing>
      </w:r>
    </w:p>
    <w:p w14:paraId="4E4DB51F" w14:textId="77777777" w:rsidR="009804A7" w:rsidRDefault="00A66E6B">
      <w:pPr>
        <w:pStyle w:val="figurecaption"/>
      </w:pPr>
      <w:r>
        <w:t xml:space="preserve">Fig. 1. Argus system architecture and tool stack: four cloud sources are </w:t>
      </w:r>
      <w:proofErr w:type="spellStart"/>
      <w:r>
        <w:t>normalised</w:t>
      </w:r>
      <w:proofErr w:type="spellEnd"/>
      <w:r>
        <w:t xml:space="preserve"> into one schema, scored by a label-free autoencoder with rarity and rule baselines, explained via SHAP and an LLM assistant, then surfaced on a web dashboard.</w:t>
      </w:r>
    </w:p>
    <w:p w14:paraId="162A3E45" w14:textId="77777777" w:rsidR="009804A7" w:rsidRDefault="00A66E6B">
      <w:pPr>
        <w:pStyle w:val="heading2"/>
      </w:pPr>
      <w:r>
        <w:t xml:space="preserve">Multi-Cloud Log </w:t>
      </w:r>
      <w:proofErr w:type="spellStart"/>
      <w:r>
        <w:t>Normalisation</w:t>
      </w:r>
      <w:proofErr w:type="spellEnd"/>
    </w:p>
    <w:p w14:paraId="6DA38A52" w14:textId="77777777" w:rsidR="009804A7" w:rsidRDefault="00A66E6B">
      <w:pPr>
        <w:pStyle w:val="p1a"/>
      </w:pPr>
      <w:r>
        <w:t>Cloud providers emit structurally distinct logs. AWS CloudTrail records API calls in JSON (</w:t>
      </w:r>
      <w:proofErr w:type="spellStart"/>
      <w:r>
        <w:t>eventTime</w:t>
      </w:r>
      <w:proofErr w:type="spellEnd"/>
      <w:r>
        <w:t xml:space="preserve">, </w:t>
      </w:r>
      <w:proofErr w:type="spellStart"/>
      <w:r>
        <w:t>userIdentity.userName</w:t>
      </w:r>
      <w:proofErr w:type="spellEnd"/>
      <w:r>
        <w:t xml:space="preserve">, </w:t>
      </w:r>
      <w:proofErr w:type="spellStart"/>
      <w:r>
        <w:t>eventName</w:t>
      </w:r>
      <w:proofErr w:type="spellEnd"/>
      <w:r>
        <w:t xml:space="preserve">, </w:t>
      </w:r>
      <w:proofErr w:type="spellStart"/>
      <w:r>
        <w:t>sourceIPAddress</w:t>
      </w:r>
      <w:proofErr w:type="spellEnd"/>
      <w:r>
        <w:t xml:space="preserve">); Azure AD sign-in logs use </w:t>
      </w:r>
      <w:proofErr w:type="spellStart"/>
      <w:r>
        <w:t>createdDateTime</w:t>
      </w:r>
      <w:proofErr w:type="spellEnd"/>
      <w:r>
        <w:t xml:space="preserve">, </w:t>
      </w:r>
      <w:proofErr w:type="spellStart"/>
      <w:r>
        <w:t>userPrincipalName</w:t>
      </w:r>
      <w:proofErr w:type="spellEnd"/>
      <w:r>
        <w:t xml:space="preserve"> and </w:t>
      </w:r>
      <w:proofErr w:type="spellStart"/>
      <w:r>
        <w:t>ipAddress</w:t>
      </w:r>
      <w:proofErr w:type="spellEnd"/>
      <w:r>
        <w:t xml:space="preserve">; Cloudflare Access uses </w:t>
      </w:r>
      <w:proofErr w:type="spellStart"/>
      <w:r>
        <w:t>created_at</w:t>
      </w:r>
      <w:proofErr w:type="spellEnd"/>
      <w:r>
        <w:t xml:space="preserve">, </w:t>
      </w:r>
      <w:proofErr w:type="spellStart"/>
      <w:r>
        <w:t>user_email</w:t>
      </w:r>
      <w:proofErr w:type="spellEnd"/>
      <w:r>
        <w:t xml:space="preserve">, </w:t>
      </w:r>
      <w:proofErr w:type="spellStart"/>
      <w:r>
        <w:t>app_domain</w:t>
      </w:r>
      <w:proofErr w:type="spellEnd"/>
      <w:r>
        <w:t xml:space="preserve"> and a country field; GitHub audit events use their own actor and action keys. A </w:t>
      </w:r>
      <w:proofErr w:type="spellStart"/>
      <w:r>
        <w:t>normalisation</w:t>
      </w:r>
      <w:proofErr w:type="spellEnd"/>
      <w:r>
        <w:t xml:space="preserve"> layer maps all four onto a single eight-field internal </w:t>
      </w:r>
      <w:proofErr w:type="gramStart"/>
      <w:r>
        <w:t>schema: {</w:t>
      </w:r>
      <w:proofErr w:type="gramEnd"/>
      <w:r>
        <w:t xml:space="preserve">timestamp, user, action, </w:t>
      </w:r>
      <w:proofErr w:type="spellStart"/>
      <w:r>
        <w:t>source_ip</w:t>
      </w:r>
      <w:proofErr w:type="spellEnd"/>
      <w:r>
        <w:t xml:space="preserve">, bytes, resource, country, </w:t>
      </w:r>
      <w:proofErr w:type="gramStart"/>
      <w:r>
        <w:t>source}.</w:t>
      </w:r>
      <w:proofErr w:type="gramEnd"/>
    </w:p>
    <w:p w14:paraId="35FE60E7" w14:textId="77777777" w:rsidR="009804A7" w:rsidRDefault="00A66E6B">
      <w:r>
        <w:t xml:space="preserve">This design keeps the downstream pipeline source-agnostic: adding a new provider requires only a single parser function, with no change to feature extraction, detection or the dashboard. For the benchmark evaluation, the CERT r4.2 dataset is converted </w:t>
      </w:r>
      <w:r>
        <w:lastRenderedPageBreak/>
        <w:t>into the same schema, providing labelled ground truth across logon, file, email, device and HTTP activity [11].</w:t>
      </w:r>
    </w:p>
    <w:p w14:paraId="7AD85428" w14:textId="77777777" w:rsidR="009804A7" w:rsidRDefault="00A66E6B">
      <w:pPr>
        <w:pStyle w:val="heading2"/>
      </w:pPr>
      <w:r>
        <w:t xml:space="preserve">Feature Engineering and </w:t>
      </w:r>
      <w:proofErr w:type="spellStart"/>
      <w:r>
        <w:t>Behavioural</w:t>
      </w:r>
      <w:proofErr w:type="spellEnd"/>
      <w:r>
        <w:t xml:space="preserve"> Baselines</w:t>
      </w:r>
    </w:p>
    <w:p w14:paraId="5821855B" w14:textId="77777777" w:rsidR="009804A7" w:rsidRDefault="00A66E6B">
      <w:pPr>
        <w:pStyle w:val="p1a"/>
      </w:pPr>
      <w:proofErr w:type="spellStart"/>
      <w:proofErr w:type="gramStart"/>
      <w:r>
        <w:t>Normalised</w:t>
      </w:r>
      <w:proofErr w:type="spellEnd"/>
      <w:proofErr w:type="gramEnd"/>
      <w:r>
        <w:t xml:space="preserve"> events are aggregated into daily </w:t>
      </w:r>
      <w:proofErr w:type="spellStart"/>
      <w:r>
        <w:t>behavioural</w:t>
      </w:r>
      <w:proofErr w:type="spellEnd"/>
      <w:r>
        <w:t xml:space="preserve"> vectors per user. For CERT data, a 71-dimensional feature vector is computed over a 30-day rolling window, capturing volume, timing, device, file and communication patterns; for live cloud data, a compact 12-dimensional per-user-day feature vector is used. A 30-day rolling window yields the per-user mean (μ) and standard deviation (σ) of each feature, and the daily </w:t>
      </w:r>
      <w:proofErr w:type="gramStart"/>
      <w:r>
        <w:t>deviation z</w:t>
      </w:r>
      <w:proofErr w:type="gramEnd"/>
      <w:r>
        <w:t xml:space="preserve"> = (x − μ)/σ quantifies how far a user's </w:t>
      </w:r>
      <w:proofErr w:type="spellStart"/>
      <w:r>
        <w:t>behaviour</w:t>
      </w:r>
      <w:proofErr w:type="spellEnd"/>
      <w:r>
        <w:t xml:space="preserve"> departs from their own established n</w:t>
      </w:r>
      <w:r>
        <w:t>orm.</w:t>
      </w:r>
    </w:p>
    <w:p w14:paraId="1905D398" w14:textId="77777777" w:rsidR="009804A7" w:rsidRDefault="00A66E6B">
      <w:pPr>
        <w:pStyle w:val="heading2"/>
      </w:pPr>
      <w:r>
        <w:t>Label-Free Detection</w:t>
      </w:r>
    </w:p>
    <w:p w14:paraId="0F933867" w14:textId="77777777" w:rsidR="009804A7" w:rsidRDefault="00A66E6B">
      <w:pPr>
        <w:pStyle w:val="p1a"/>
      </w:pPr>
      <w:r>
        <w:t xml:space="preserve">Two unsupervised models are trained exclusively on normal user-days, with labelled malicious users excluded from training. An Isolation Forest (scikit-learn) isolates structurally distinct points in fewer partitioning steps, producing a </w:t>
      </w:r>
      <w:proofErr w:type="spellStart"/>
      <w:r>
        <w:t>normalised</w:t>
      </w:r>
      <w:proofErr w:type="spellEnd"/>
      <w:r>
        <w:t xml:space="preserve"> anomaly score in [0, 1]. A deep autoencoder (</w:t>
      </w:r>
      <w:proofErr w:type="spellStart"/>
      <w:r>
        <w:t>PyTorch</w:t>
      </w:r>
      <w:proofErr w:type="spellEnd"/>
      <w:r>
        <w:t xml:space="preserve">) learns to reconstruct normal </w:t>
      </w:r>
      <w:proofErr w:type="spellStart"/>
      <w:r>
        <w:t>behavioural</w:t>
      </w:r>
      <w:proofErr w:type="spellEnd"/>
      <w:r>
        <w:t xml:space="preserve"> vectors; the mean-squared reconstruction error, </w:t>
      </w:r>
      <w:proofErr w:type="spellStart"/>
      <w:r>
        <w:t>normalised</w:t>
      </w:r>
      <w:proofErr w:type="spellEnd"/>
      <w:r>
        <w:t xml:space="preserve"> to [0, 1], is the anomaly score for an input.</w:t>
      </w:r>
    </w:p>
    <w:p w14:paraId="1DE77427" w14:textId="77777777" w:rsidR="009804A7" w:rsidRDefault="00A66E6B">
      <w:r>
        <w:t>Unlike the earlier ensemble formulation, the autoencoder reconstruction error is used as the final risk score, because it gave the strongest separation in our experiments. The Isolation Forest, a threshold-based rule scorer, and a weighted average of Isolation Forest and autoencoder are retained as transparent baselines for comparison rather than as the production detector.</w:t>
      </w:r>
    </w:p>
    <w:p w14:paraId="535FC080" w14:textId="77777777" w:rsidR="009804A7" w:rsidRDefault="00A66E6B">
      <w:pPr>
        <w:pStyle w:val="heading2"/>
      </w:pPr>
      <w:r>
        <w:t>Rarity Signals</w:t>
      </w:r>
    </w:p>
    <w:p w14:paraId="1B68E184" w14:textId="77777777" w:rsidR="009804A7" w:rsidRDefault="00A66E6B">
      <w:pPr>
        <w:pStyle w:val="p1a"/>
      </w:pPr>
      <w:r>
        <w:t xml:space="preserve">Complementing the autoencoder, a rarity scorer emits six interpretable binary flags per event: </w:t>
      </w:r>
      <w:proofErr w:type="spellStart"/>
      <w:r>
        <w:t>first_time_action</w:t>
      </w:r>
      <w:proofErr w:type="spellEnd"/>
      <w:r>
        <w:t xml:space="preserve">, </w:t>
      </w:r>
      <w:proofErr w:type="spellStart"/>
      <w:r>
        <w:t>new_ip</w:t>
      </w:r>
      <w:proofErr w:type="spellEnd"/>
      <w:r>
        <w:t xml:space="preserve">, </w:t>
      </w:r>
      <w:proofErr w:type="spellStart"/>
      <w:r>
        <w:t>off_hours</w:t>
      </w:r>
      <w:proofErr w:type="spellEnd"/>
      <w:r>
        <w:t xml:space="preserve">, </w:t>
      </w:r>
      <w:proofErr w:type="spellStart"/>
      <w:r>
        <w:t>high_volume</w:t>
      </w:r>
      <w:proofErr w:type="spellEnd"/>
      <w:r>
        <w:t xml:space="preserve">, </w:t>
      </w:r>
      <w:proofErr w:type="spellStart"/>
      <w:r>
        <w:t>sensitive_resource</w:t>
      </w:r>
      <w:proofErr w:type="spellEnd"/>
      <w:r>
        <w:t xml:space="preserve"> and </w:t>
      </w:r>
      <w:proofErr w:type="spellStart"/>
      <w:r>
        <w:t>geo_rarity</w:t>
      </w:r>
      <w:proofErr w:type="spellEnd"/>
      <w:r>
        <w:t xml:space="preserve">. The </w:t>
      </w:r>
      <w:proofErr w:type="spellStart"/>
      <w:r>
        <w:t>geo_rarity</w:t>
      </w:r>
      <w:proofErr w:type="spellEnd"/>
      <w:r>
        <w:t xml:space="preserve"> flag fires when an event originates from a country never previously observed for that user, derived from the Cloudflare Access country field — the only source with reliable geolocation. The rarity score is the fraction of the six flags that fire, giving analysts a fast, human-readable corroboration of the model score.</w:t>
      </w:r>
    </w:p>
    <w:p w14:paraId="21A057D3" w14:textId="77777777" w:rsidR="009804A7" w:rsidRDefault="00A66E6B">
      <w:pPr>
        <w:pStyle w:val="heading2"/>
      </w:pPr>
      <w:r>
        <w:t>Explainability</w:t>
      </w:r>
    </w:p>
    <w:p w14:paraId="1F560F73" w14:textId="77777777" w:rsidR="009804A7" w:rsidRDefault="00A66E6B">
      <w:pPr>
        <w:pStyle w:val="p1a"/>
      </w:pPr>
      <w:r>
        <w:t xml:space="preserve">Every flagged event is passed to a SHAP </w:t>
      </w:r>
      <w:proofErr w:type="spellStart"/>
      <w:r>
        <w:t>KernelExplainer</w:t>
      </w:r>
      <w:proofErr w:type="spellEnd"/>
      <w:r>
        <w:t xml:space="preserve">, which attributes the risk score to individual features and produces a ranked, human-readable reason string — for example, that after-hours activity and a first-seen IP address together account for the majority of an alert's score. A large-language-model assistant (configurable across Gemini, DeepSeek and </w:t>
      </w:r>
      <w:proofErr w:type="spellStart"/>
      <w:r>
        <w:t>Groq</w:t>
      </w:r>
      <w:proofErr w:type="spellEnd"/>
      <w:r>
        <w:t>) then converts this attribution into a concise natural-</w:t>
      </w:r>
      <w:r>
        <w:lastRenderedPageBreak/>
        <w:t>language narrative for the analyst, turning opaque scores into investigable intelligence and directly addressing the explainabili</w:t>
      </w:r>
      <w:r>
        <w:t>ty mandate of the EU AI Act [9].</w:t>
      </w:r>
    </w:p>
    <w:p w14:paraId="439B616E" w14:textId="77777777" w:rsidR="009804A7" w:rsidRDefault="00A66E6B">
      <w:pPr>
        <w:pStyle w:val="heading1"/>
      </w:pPr>
      <w:r>
        <w:t>Evaluation</w:t>
      </w:r>
    </w:p>
    <w:p w14:paraId="3AF58AB5" w14:textId="77777777" w:rsidR="009804A7" w:rsidRDefault="00A66E6B">
      <w:pPr>
        <w:pStyle w:val="heading2"/>
      </w:pPr>
      <w:r>
        <w:t>Dataset and Experimental Setup</w:t>
      </w:r>
    </w:p>
    <w:p w14:paraId="78D7221C" w14:textId="77777777" w:rsidR="009804A7" w:rsidRDefault="00A66E6B">
      <w:pPr>
        <w:pStyle w:val="p1a"/>
      </w:pPr>
      <w:r>
        <w:t>The primary benchmark is the CERT Insider Threat Dataset r4.2 (Carnegie Mellon University), comprising roughly 32 million events from 1,000 simulated users over 17 months, of which 70 are designated malicious insiders [11]. The timeline is split chronologically: earlier activity (normal users only) trains the baselines and the autoencoder, while the held-out remainder, containing all 70 insiders, forms the test set. All experiments use a fixed random seed of 42 for reproducibility.</w:t>
      </w:r>
    </w:p>
    <w:p w14:paraId="70447CA3" w14:textId="77777777" w:rsidR="009804A7" w:rsidRDefault="00A66E6B">
      <w:pPr>
        <w:pStyle w:val="heading2"/>
      </w:pPr>
      <w:r>
        <w:t>Detector Performance</w:t>
      </w:r>
    </w:p>
    <w:p w14:paraId="0E6E6BC9" w14:textId="77777777" w:rsidR="009804A7" w:rsidRDefault="00A66E6B">
      <w:pPr>
        <w:pStyle w:val="p1a"/>
      </w:pPr>
      <w:r>
        <w:t>Table 1 reports AUROC, AUPRC and F1 (at the F1-optimal threshold) for the four configurations on the CERT r4.2 test set. Because insiders are a small minority, AUPRC is reported alongside AUROC, as AUROC alone can overstate performance on imbalanced data. The autoencoder dominates every metric, and the corresponding ROC curves are shown in Fig. 2.</w:t>
      </w:r>
    </w:p>
    <w:p w14:paraId="3D29A728" w14:textId="77777777" w:rsidR="009804A7" w:rsidRDefault="00A66E6B">
      <w:pPr>
        <w:pStyle w:val="tablecaption"/>
      </w:pPr>
      <w:r>
        <w:t>Table 1. Detector performance on CERT r4.2 (1,000 users, 70 insiders).</w:t>
      </w:r>
    </w:p>
    <w:tbl>
      <w:tblPr>
        <w:tblW w:w="6917" w:type="dxa"/>
        <w:tblBorders>
          <w:top w:val="single" w:sz="6" w:space="0" w:color="000000"/>
          <w:bottom w:val="single" w:sz="6" w:space="0" w:color="000000"/>
          <w:insideH w:val="single" w:sz="4" w:space="0" w:color="808080"/>
        </w:tblBorders>
        <w:tblLook w:val="04A0" w:firstRow="1" w:lastRow="0" w:firstColumn="1" w:lastColumn="0" w:noHBand="0" w:noVBand="1"/>
      </w:tblPr>
      <w:tblGrid>
        <w:gridCol w:w="3182"/>
        <w:gridCol w:w="1245"/>
        <w:gridCol w:w="1245"/>
        <w:gridCol w:w="1245"/>
      </w:tblGrid>
      <w:tr w:rsidR="009804A7" w14:paraId="7AF2F2C9" w14:textId="77777777">
        <w:tc>
          <w:tcPr>
            <w:tcW w:w="3182" w:type="dxa"/>
            <w:vAlign w:val="center"/>
          </w:tcPr>
          <w:p w14:paraId="01FE78A9" w14:textId="77777777" w:rsidR="009804A7" w:rsidRDefault="00A66E6B">
            <w:pPr>
              <w:spacing w:before="20" w:after="20"/>
              <w:ind w:firstLine="0"/>
            </w:pPr>
            <w:r>
              <w:rPr>
                <w:b/>
                <w:sz w:val="18"/>
              </w:rPr>
              <w:t>Model</w:t>
            </w:r>
          </w:p>
        </w:tc>
        <w:tc>
          <w:tcPr>
            <w:tcW w:w="1245" w:type="dxa"/>
            <w:vAlign w:val="center"/>
          </w:tcPr>
          <w:p w14:paraId="1A6797AE" w14:textId="77777777" w:rsidR="009804A7" w:rsidRDefault="00A66E6B">
            <w:pPr>
              <w:spacing w:before="20" w:after="20"/>
              <w:ind w:firstLine="0"/>
              <w:jc w:val="center"/>
            </w:pPr>
            <w:r>
              <w:rPr>
                <w:b/>
                <w:sz w:val="18"/>
              </w:rPr>
              <w:t>AUROC</w:t>
            </w:r>
          </w:p>
        </w:tc>
        <w:tc>
          <w:tcPr>
            <w:tcW w:w="1245" w:type="dxa"/>
            <w:vAlign w:val="center"/>
          </w:tcPr>
          <w:p w14:paraId="1332AF1B" w14:textId="77777777" w:rsidR="009804A7" w:rsidRDefault="00A66E6B">
            <w:pPr>
              <w:spacing w:before="20" w:after="20"/>
              <w:ind w:firstLine="0"/>
              <w:jc w:val="center"/>
            </w:pPr>
            <w:r>
              <w:rPr>
                <w:b/>
                <w:sz w:val="18"/>
              </w:rPr>
              <w:t>AUPRC</w:t>
            </w:r>
          </w:p>
        </w:tc>
        <w:tc>
          <w:tcPr>
            <w:tcW w:w="1245" w:type="dxa"/>
            <w:vAlign w:val="center"/>
          </w:tcPr>
          <w:p w14:paraId="1A744E77" w14:textId="77777777" w:rsidR="009804A7" w:rsidRDefault="00A66E6B">
            <w:pPr>
              <w:spacing w:before="20" w:after="20"/>
              <w:ind w:firstLine="0"/>
              <w:jc w:val="center"/>
            </w:pPr>
            <w:r>
              <w:rPr>
                <w:b/>
                <w:sz w:val="18"/>
              </w:rPr>
              <w:t>F1</w:t>
            </w:r>
          </w:p>
        </w:tc>
      </w:tr>
      <w:tr w:rsidR="009804A7" w14:paraId="316DB9FB" w14:textId="77777777">
        <w:tc>
          <w:tcPr>
            <w:tcW w:w="3182" w:type="dxa"/>
            <w:vAlign w:val="center"/>
          </w:tcPr>
          <w:p w14:paraId="5558F4C4" w14:textId="77777777" w:rsidR="009804A7" w:rsidRDefault="00A66E6B">
            <w:pPr>
              <w:spacing w:before="20" w:after="20"/>
              <w:ind w:firstLine="0"/>
            </w:pPr>
            <w:r>
              <w:rPr>
                <w:sz w:val="18"/>
              </w:rPr>
              <w:t>Autoencoder (final)</w:t>
            </w:r>
          </w:p>
        </w:tc>
        <w:tc>
          <w:tcPr>
            <w:tcW w:w="1245" w:type="dxa"/>
            <w:vAlign w:val="center"/>
          </w:tcPr>
          <w:p w14:paraId="50B2E4D6" w14:textId="77777777" w:rsidR="009804A7" w:rsidRDefault="00A66E6B">
            <w:pPr>
              <w:spacing w:before="20" w:after="20"/>
              <w:ind w:firstLine="0"/>
              <w:jc w:val="center"/>
            </w:pPr>
            <w:r>
              <w:rPr>
                <w:sz w:val="18"/>
              </w:rPr>
              <w:t>0.976</w:t>
            </w:r>
          </w:p>
        </w:tc>
        <w:tc>
          <w:tcPr>
            <w:tcW w:w="1245" w:type="dxa"/>
            <w:vAlign w:val="center"/>
          </w:tcPr>
          <w:p w14:paraId="7A01B337" w14:textId="77777777" w:rsidR="009804A7" w:rsidRDefault="00A66E6B">
            <w:pPr>
              <w:spacing w:before="20" w:after="20"/>
              <w:ind w:firstLine="0"/>
              <w:jc w:val="center"/>
            </w:pPr>
            <w:r>
              <w:rPr>
                <w:sz w:val="18"/>
              </w:rPr>
              <w:t>0.851</w:t>
            </w:r>
          </w:p>
        </w:tc>
        <w:tc>
          <w:tcPr>
            <w:tcW w:w="1245" w:type="dxa"/>
            <w:vAlign w:val="center"/>
          </w:tcPr>
          <w:p w14:paraId="2E453E24" w14:textId="77777777" w:rsidR="009804A7" w:rsidRDefault="00A66E6B">
            <w:pPr>
              <w:spacing w:before="20" w:after="20"/>
              <w:ind w:firstLine="0"/>
              <w:jc w:val="center"/>
            </w:pPr>
            <w:r>
              <w:rPr>
                <w:sz w:val="18"/>
              </w:rPr>
              <w:t>0.787</w:t>
            </w:r>
          </w:p>
        </w:tc>
      </w:tr>
      <w:tr w:rsidR="009804A7" w14:paraId="74FFAE4B" w14:textId="77777777">
        <w:tc>
          <w:tcPr>
            <w:tcW w:w="3182" w:type="dxa"/>
            <w:vAlign w:val="center"/>
          </w:tcPr>
          <w:p w14:paraId="59848FEC" w14:textId="77777777" w:rsidR="009804A7" w:rsidRDefault="00A66E6B">
            <w:pPr>
              <w:spacing w:before="20" w:after="20"/>
              <w:ind w:firstLine="0"/>
            </w:pPr>
            <w:r>
              <w:rPr>
                <w:sz w:val="18"/>
              </w:rPr>
              <w:t>Weighted average (IF + AE)</w:t>
            </w:r>
          </w:p>
        </w:tc>
        <w:tc>
          <w:tcPr>
            <w:tcW w:w="1245" w:type="dxa"/>
            <w:vAlign w:val="center"/>
          </w:tcPr>
          <w:p w14:paraId="4D924459" w14:textId="77777777" w:rsidR="009804A7" w:rsidRDefault="00A66E6B">
            <w:pPr>
              <w:spacing w:before="20" w:after="20"/>
              <w:ind w:firstLine="0"/>
              <w:jc w:val="center"/>
            </w:pPr>
            <w:r>
              <w:rPr>
                <w:sz w:val="18"/>
              </w:rPr>
              <w:t>0.951</w:t>
            </w:r>
          </w:p>
        </w:tc>
        <w:tc>
          <w:tcPr>
            <w:tcW w:w="1245" w:type="dxa"/>
            <w:vAlign w:val="center"/>
          </w:tcPr>
          <w:p w14:paraId="7F54EE95" w14:textId="77777777" w:rsidR="009804A7" w:rsidRDefault="00A66E6B">
            <w:pPr>
              <w:spacing w:before="20" w:after="20"/>
              <w:ind w:firstLine="0"/>
              <w:jc w:val="center"/>
            </w:pPr>
            <w:r>
              <w:rPr>
                <w:sz w:val="18"/>
              </w:rPr>
              <w:t>0.740</w:t>
            </w:r>
          </w:p>
        </w:tc>
        <w:tc>
          <w:tcPr>
            <w:tcW w:w="1245" w:type="dxa"/>
            <w:vAlign w:val="center"/>
          </w:tcPr>
          <w:p w14:paraId="7851CBAD" w14:textId="77777777" w:rsidR="009804A7" w:rsidRDefault="00A66E6B">
            <w:pPr>
              <w:spacing w:before="20" w:after="20"/>
              <w:ind w:firstLine="0"/>
              <w:jc w:val="center"/>
            </w:pPr>
            <w:r>
              <w:rPr>
                <w:sz w:val="18"/>
              </w:rPr>
              <w:t>0.726</w:t>
            </w:r>
          </w:p>
        </w:tc>
      </w:tr>
      <w:tr w:rsidR="009804A7" w14:paraId="3426C7CE" w14:textId="77777777">
        <w:tc>
          <w:tcPr>
            <w:tcW w:w="3182" w:type="dxa"/>
            <w:vAlign w:val="center"/>
          </w:tcPr>
          <w:p w14:paraId="0FCE7C98" w14:textId="77777777" w:rsidR="009804A7" w:rsidRDefault="00A66E6B">
            <w:pPr>
              <w:spacing w:before="20" w:after="20"/>
              <w:ind w:firstLine="0"/>
            </w:pPr>
            <w:r>
              <w:rPr>
                <w:sz w:val="18"/>
              </w:rPr>
              <w:t>Isolation Forest</w:t>
            </w:r>
          </w:p>
        </w:tc>
        <w:tc>
          <w:tcPr>
            <w:tcW w:w="1245" w:type="dxa"/>
            <w:vAlign w:val="center"/>
          </w:tcPr>
          <w:p w14:paraId="7F8E84BE" w14:textId="77777777" w:rsidR="009804A7" w:rsidRDefault="00A66E6B">
            <w:pPr>
              <w:spacing w:before="20" w:after="20"/>
              <w:ind w:firstLine="0"/>
              <w:jc w:val="center"/>
            </w:pPr>
            <w:r>
              <w:rPr>
                <w:sz w:val="18"/>
              </w:rPr>
              <w:t>0.860</w:t>
            </w:r>
          </w:p>
        </w:tc>
        <w:tc>
          <w:tcPr>
            <w:tcW w:w="1245" w:type="dxa"/>
            <w:vAlign w:val="center"/>
          </w:tcPr>
          <w:p w14:paraId="19876FB3" w14:textId="77777777" w:rsidR="009804A7" w:rsidRDefault="00A66E6B">
            <w:pPr>
              <w:spacing w:before="20" w:after="20"/>
              <w:ind w:firstLine="0"/>
              <w:jc w:val="center"/>
            </w:pPr>
            <w:r>
              <w:rPr>
                <w:sz w:val="18"/>
              </w:rPr>
              <w:t>0.206</w:t>
            </w:r>
          </w:p>
        </w:tc>
        <w:tc>
          <w:tcPr>
            <w:tcW w:w="1245" w:type="dxa"/>
            <w:vAlign w:val="center"/>
          </w:tcPr>
          <w:p w14:paraId="7BD4F779" w14:textId="77777777" w:rsidR="009804A7" w:rsidRDefault="00A66E6B">
            <w:pPr>
              <w:spacing w:before="20" w:after="20"/>
              <w:ind w:firstLine="0"/>
              <w:jc w:val="center"/>
            </w:pPr>
            <w:r>
              <w:rPr>
                <w:sz w:val="18"/>
              </w:rPr>
              <w:t>0.379</w:t>
            </w:r>
          </w:p>
        </w:tc>
      </w:tr>
      <w:tr w:rsidR="009804A7" w14:paraId="5E08025D" w14:textId="77777777">
        <w:tc>
          <w:tcPr>
            <w:tcW w:w="3182" w:type="dxa"/>
            <w:vAlign w:val="center"/>
          </w:tcPr>
          <w:p w14:paraId="4ECC0493" w14:textId="77777777" w:rsidR="009804A7" w:rsidRDefault="00A66E6B">
            <w:pPr>
              <w:spacing w:before="20" w:after="20"/>
              <w:ind w:firstLine="0"/>
            </w:pPr>
            <w:r>
              <w:rPr>
                <w:sz w:val="18"/>
              </w:rPr>
              <w:t>Rule-based</w:t>
            </w:r>
          </w:p>
        </w:tc>
        <w:tc>
          <w:tcPr>
            <w:tcW w:w="1245" w:type="dxa"/>
            <w:vAlign w:val="center"/>
          </w:tcPr>
          <w:p w14:paraId="03D853F9" w14:textId="77777777" w:rsidR="009804A7" w:rsidRDefault="00A66E6B">
            <w:pPr>
              <w:spacing w:before="20" w:after="20"/>
              <w:ind w:firstLine="0"/>
              <w:jc w:val="center"/>
            </w:pPr>
            <w:r>
              <w:rPr>
                <w:sz w:val="18"/>
              </w:rPr>
              <w:t>0.859</w:t>
            </w:r>
          </w:p>
        </w:tc>
        <w:tc>
          <w:tcPr>
            <w:tcW w:w="1245" w:type="dxa"/>
            <w:vAlign w:val="center"/>
          </w:tcPr>
          <w:p w14:paraId="1D1A1F65" w14:textId="77777777" w:rsidR="009804A7" w:rsidRDefault="00A66E6B">
            <w:pPr>
              <w:spacing w:before="20" w:after="20"/>
              <w:ind w:firstLine="0"/>
              <w:jc w:val="center"/>
            </w:pPr>
            <w:r>
              <w:rPr>
                <w:sz w:val="18"/>
              </w:rPr>
              <w:t>0.207</w:t>
            </w:r>
          </w:p>
        </w:tc>
        <w:tc>
          <w:tcPr>
            <w:tcW w:w="1245" w:type="dxa"/>
            <w:vAlign w:val="center"/>
          </w:tcPr>
          <w:p w14:paraId="0E33386A" w14:textId="77777777" w:rsidR="009804A7" w:rsidRDefault="00A66E6B">
            <w:pPr>
              <w:spacing w:before="20" w:after="20"/>
              <w:ind w:firstLine="0"/>
              <w:jc w:val="center"/>
            </w:pPr>
            <w:r>
              <w:rPr>
                <w:sz w:val="18"/>
              </w:rPr>
              <w:t>0.367</w:t>
            </w:r>
          </w:p>
        </w:tc>
      </w:tr>
    </w:tbl>
    <w:p w14:paraId="744F8B0A" w14:textId="77777777" w:rsidR="009804A7" w:rsidRDefault="00A66E6B">
      <w:pPr>
        <w:pStyle w:val="image"/>
      </w:pPr>
      <w:r>
        <w:rPr>
          <w:noProof/>
        </w:rPr>
        <w:lastRenderedPageBreak/>
        <w:drawing>
          <wp:inline distT="0" distB="0" distL="0" distR="0" wp14:anchorId="0B305D94" wp14:editId="5982A61E">
            <wp:extent cx="3162300" cy="2569368"/>
            <wp:effectExtent l="0" t="0" r="0" b="0"/>
            <wp:docPr id="102"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9"/>
                    <a:stretch>
                      <a:fillRect/>
                    </a:stretch>
                  </pic:blipFill>
                  <pic:spPr>
                    <a:xfrm>
                      <a:off x="0" y="0"/>
                      <a:ext cx="3162300" cy="2569368"/>
                    </a:xfrm>
                    <a:prstGeom prst="rect">
                      <a:avLst/>
                    </a:prstGeom>
                  </pic:spPr>
                </pic:pic>
              </a:graphicData>
            </a:graphic>
          </wp:inline>
        </w:drawing>
      </w:r>
    </w:p>
    <w:p w14:paraId="2A95F5FF" w14:textId="77777777" w:rsidR="009804A7" w:rsidRDefault="00A66E6B">
      <w:pPr>
        <w:pStyle w:val="figurecaption"/>
      </w:pPr>
      <w:r>
        <w:t>Fig. 2. ROC curves for the autoencoder and the rule and isolation baselines on CERT r4.2.</w:t>
      </w:r>
    </w:p>
    <w:p w14:paraId="560AF8C0" w14:textId="77777777" w:rsidR="009804A7" w:rsidRDefault="00A66E6B">
      <w:pPr>
        <w:pStyle w:val="heading2"/>
      </w:pPr>
      <w:r>
        <w:t>Real-World Validation</w:t>
      </w:r>
    </w:p>
    <w:p w14:paraId="7DF5B1AB" w14:textId="77777777" w:rsidR="009804A7" w:rsidRDefault="00A66E6B">
      <w:pPr>
        <w:pStyle w:val="p1a"/>
      </w:pPr>
      <w:r>
        <w:t xml:space="preserve">Benchmarks on simulated data can flatter a detector, so two external checks are performed. First, the cloud feature autoencoder is evaluated on the </w:t>
      </w:r>
      <w:proofErr w:type="spellStart"/>
      <w:proofErr w:type="gramStart"/>
      <w:r>
        <w:t>flaws.cloud</w:t>
      </w:r>
      <w:proofErr w:type="spellEnd"/>
      <w:proofErr w:type="gramEnd"/>
      <w:r>
        <w:t xml:space="preserve"> AWS CloudTrail dataset, where it separates the </w:t>
      </w:r>
      <w:proofErr w:type="gramStart"/>
      <w:r>
        <w:t>Level-5</w:t>
      </w:r>
      <w:proofErr w:type="gramEnd"/>
      <w:r>
        <w:t>/</w:t>
      </w:r>
      <w:proofErr w:type="gramStart"/>
      <w:r>
        <w:t>Level-6</w:t>
      </w:r>
      <w:proofErr w:type="gramEnd"/>
      <w:r>
        <w:t xml:space="preserve"> attacker activity from benign API calls at AUROC 0.724 despite being trained without any attack labels. Second, a streaming live-replay drives events through the production /ingest endpoint and scores them online; the live pipeline attains AUROC 0.917 against an offline 0.976, confirming that the real-time path preserves most of the detector's accuracy.</w:t>
      </w:r>
    </w:p>
    <w:p w14:paraId="55ADD7BE" w14:textId="77777777" w:rsidR="009804A7" w:rsidRDefault="00A66E6B">
      <w:pPr>
        <w:pStyle w:val="heading2"/>
      </w:pPr>
      <w:r>
        <w:t>Capability Comparison</w:t>
      </w:r>
    </w:p>
    <w:p w14:paraId="093A8026" w14:textId="77777777" w:rsidR="009804A7" w:rsidRDefault="00A66E6B">
      <w:pPr>
        <w:pStyle w:val="p1a"/>
      </w:pPr>
      <w:r>
        <w:t xml:space="preserve">Table 2 compares Argus with three widely used open-source UEBA/SIEM platforms across capabilities relevant to insider-threat detection in cloud environments. Argus is the only system to combine multi-cloud </w:t>
      </w:r>
      <w:proofErr w:type="spellStart"/>
      <w:r>
        <w:t>normalisation</w:t>
      </w:r>
      <w:proofErr w:type="spellEnd"/>
      <w:r>
        <w:t xml:space="preserve">, label-free learning and per-alert explainability. Figure 3 shows the mean absolute SHAP attribution across the most influential features, illustrating which </w:t>
      </w:r>
      <w:proofErr w:type="spellStart"/>
      <w:r>
        <w:t>behaviours</w:t>
      </w:r>
      <w:proofErr w:type="spellEnd"/>
      <w:r>
        <w:t xml:space="preserve"> most often drive an alert.</w:t>
      </w:r>
    </w:p>
    <w:p w14:paraId="2452E967" w14:textId="77777777" w:rsidR="009804A7" w:rsidRDefault="00A66E6B">
      <w:pPr>
        <w:pStyle w:val="tablecaption"/>
      </w:pPr>
      <w:r>
        <w:t>Table 2. Capability comparison with open-source UEBA tools.</w:t>
      </w:r>
    </w:p>
    <w:tbl>
      <w:tblPr>
        <w:tblW w:w="6915" w:type="dxa"/>
        <w:tblBorders>
          <w:top w:val="single" w:sz="6" w:space="0" w:color="000000"/>
          <w:bottom w:val="single" w:sz="6" w:space="0" w:color="000000"/>
          <w:insideH w:val="single" w:sz="4" w:space="0" w:color="808080"/>
        </w:tblBorders>
        <w:tblLook w:val="04A0" w:firstRow="1" w:lastRow="0" w:firstColumn="1" w:lastColumn="0" w:noHBand="0" w:noVBand="1"/>
      </w:tblPr>
      <w:tblGrid>
        <w:gridCol w:w="2767"/>
        <w:gridCol w:w="1037"/>
        <w:gridCol w:w="1037"/>
        <w:gridCol w:w="1037"/>
        <w:gridCol w:w="1037"/>
      </w:tblGrid>
      <w:tr w:rsidR="009804A7" w14:paraId="021334C7" w14:textId="77777777">
        <w:tc>
          <w:tcPr>
            <w:tcW w:w="2767" w:type="dxa"/>
            <w:vAlign w:val="center"/>
          </w:tcPr>
          <w:p w14:paraId="1BD0E5B8" w14:textId="77777777" w:rsidR="009804A7" w:rsidRDefault="00A66E6B">
            <w:pPr>
              <w:spacing w:before="20" w:after="20"/>
              <w:ind w:firstLine="0"/>
            </w:pPr>
            <w:r>
              <w:rPr>
                <w:b/>
                <w:sz w:val="18"/>
              </w:rPr>
              <w:t>Capability</w:t>
            </w:r>
          </w:p>
        </w:tc>
        <w:tc>
          <w:tcPr>
            <w:tcW w:w="1037" w:type="dxa"/>
            <w:vAlign w:val="center"/>
          </w:tcPr>
          <w:p w14:paraId="38097A64" w14:textId="77777777" w:rsidR="009804A7" w:rsidRDefault="00A66E6B">
            <w:pPr>
              <w:spacing w:before="20" w:after="20"/>
              <w:ind w:firstLine="0"/>
              <w:jc w:val="center"/>
            </w:pPr>
            <w:proofErr w:type="spellStart"/>
            <w:r>
              <w:rPr>
                <w:b/>
                <w:sz w:val="18"/>
              </w:rPr>
              <w:t>Wazuh</w:t>
            </w:r>
            <w:proofErr w:type="spellEnd"/>
          </w:p>
        </w:tc>
        <w:tc>
          <w:tcPr>
            <w:tcW w:w="1037" w:type="dxa"/>
            <w:vAlign w:val="center"/>
          </w:tcPr>
          <w:p w14:paraId="5EA93128" w14:textId="77777777" w:rsidR="009804A7" w:rsidRDefault="00A66E6B">
            <w:pPr>
              <w:spacing w:before="20" w:after="20"/>
              <w:ind w:firstLine="0"/>
              <w:jc w:val="center"/>
            </w:pPr>
            <w:proofErr w:type="spellStart"/>
            <w:r>
              <w:rPr>
                <w:b/>
                <w:sz w:val="18"/>
              </w:rPr>
              <w:t>OpenUBA</w:t>
            </w:r>
            <w:proofErr w:type="spellEnd"/>
          </w:p>
        </w:tc>
        <w:tc>
          <w:tcPr>
            <w:tcW w:w="1037" w:type="dxa"/>
            <w:vAlign w:val="center"/>
          </w:tcPr>
          <w:p w14:paraId="1BCFBBC7" w14:textId="77777777" w:rsidR="009804A7" w:rsidRDefault="00A66E6B">
            <w:pPr>
              <w:spacing w:before="20" w:after="20"/>
              <w:ind w:firstLine="0"/>
              <w:jc w:val="center"/>
            </w:pPr>
            <w:r>
              <w:rPr>
                <w:b/>
                <w:sz w:val="18"/>
              </w:rPr>
              <w:t>HELK</w:t>
            </w:r>
          </w:p>
        </w:tc>
        <w:tc>
          <w:tcPr>
            <w:tcW w:w="1037" w:type="dxa"/>
            <w:vAlign w:val="center"/>
          </w:tcPr>
          <w:p w14:paraId="0B637885" w14:textId="77777777" w:rsidR="009804A7" w:rsidRDefault="00A66E6B">
            <w:pPr>
              <w:spacing w:before="20" w:after="20"/>
              <w:ind w:firstLine="0"/>
              <w:jc w:val="center"/>
            </w:pPr>
            <w:r>
              <w:rPr>
                <w:b/>
                <w:sz w:val="18"/>
              </w:rPr>
              <w:t>Argus</w:t>
            </w:r>
          </w:p>
        </w:tc>
      </w:tr>
      <w:tr w:rsidR="009804A7" w14:paraId="07358120" w14:textId="77777777">
        <w:tc>
          <w:tcPr>
            <w:tcW w:w="2767" w:type="dxa"/>
            <w:vAlign w:val="center"/>
          </w:tcPr>
          <w:p w14:paraId="35DC5B15" w14:textId="77777777" w:rsidR="009804A7" w:rsidRDefault="00A66E6B">
            <w:pPr>
              <w:spacing w:before="20" w:after="20"/>
              <w:ind w:firstLine="0"/>
            </w:pPr>
            <w:r>
              <w:rPr>
                <w:sz w:val="18"/>
              </w:rPr>
              <w:t>Per-user baseline</w:t>
            </w:r>
          </w:p>
        </w:tc>
        <w:tc>
          <w:tcPr>
            <w:tcW w:w="1037" w:type="dxa"/>
            <w:vAlign w:val="center"/>
          </w:tcPr>
          <w:p w14:paraId="619F1596" w14:textId="77777777" w:rsidR="009804A7" w:rsidRDefault="00A66E6B">
            <w:pPr>
              <w:spacing w:before="20" w:after="20"/>
              <w:ind w:firstLine="0"/>
              <w:jc w:val="center"/>
            </w:pPr>
            <w:r>
              <w:rPr>
                <w:sz w:val="18"/>
              </w:rPr>
              <w:t>No</w:t>
            </w:r>
          </w:p>
        </w:tc>
        <w:tc>
          <w:tcPr>
            <w:tcW w:w="1037" w:type="dxa"/>
            <w:vAlign w:val="center"/>
          </w:tcPr>
          <w:p w14:paraId="2F0C0DFC" w14:textId="77777777" w:rsidR="009804A7" w:rsidRDefault="00A66E6B">
            <w:pPr>
              <w:spacing w:before="20" w:after="20"/>
              <w:ind w:firstLine="0"/>
              <w:jc w:val="center"/>
            </w:pPr>
            <w:r>
              <w:rPr>
                <w:sz w:val="18"/>
              </w:rPr>
              <w:t>Partial</w:t>
            </w:r>
          </w:p>
        </w:tc>
        <w:tc>
          <w:tcPr>
            <w:tcW w:w="1037" w:type="dxa"/>
            <w:vAlign w:val="center"/>
          </w:tcPr>
          <w:p w14:paraId="7C814500" w14:textId="77777777" w:rsidR="009804A7" w:rsidRDefault="00A66E6B">
            <w:pPr>
              <w:spacing w:before="20" w:after="20"/>
              <w:ind w:firstLine="0"/>
              <w:jc w:val="center"/>
            </w:pPr>
            <w:r>
              <w:rPr>
                <w:sz w:val="18"/>
              </w:rPr>
              <w:t>No</w:t>
            </w:r>
          </w:p>
        </w:tc>
        <w:tc>
          <w:tcPr>
            <w:tcW w:w="1037" w:type="dxa"/>
            <w:vAlign w:val="center"/>
          </w:tcPr>
          <w:p w14:paraId="064103A5" w14:textId="77777777" w:rsidR="009804A7" w:rsidRDefault="00A66E6B">
            <w:pPr>
              <w:spacing w:before="20" w:after="20"/>
              <w:ind w:firstLine="0"/>
              <w:jc w:val="center"/>
            </w:pPr>
            <w:r>
              <w:rPr>
                <w:sz w:val="18"/>
              </w:rPr>
              <w:t>Yes</w:t>
            </w:r>
          </w:p>
        </w:tc>
      </w:tr>
      <w:tr w:rsidR="009804A7" w14:paraId="43A9DFE6" w14:textId="77777777">
        <w:tc>
          <w:tcPr>
            <w:tcW w:w="2767" w:type="dxa"/>
            <w:vAlign w:val="center"/>
          </w:tcPr>
          <w:p w14:paraId="2AA7543C" w14:textId="77777777" w:rsidR="009804A7" w:rsidRDefault="00A66E6B">
            <w:pPr>
              <w:spacing w:before="20" w:after="20"/>
              <w:ind w:firstLine="0"/>
            </w:pPr>
            <w:r>
              <w:rPr>
                <w:sz w:val="18"/>
              </w:rPr>
              <w:t xml:space="preserve">Multi-cloud </w:t>
            </w:r>
            <w:proofErr w:type="spellStart"/>
            <w:r>
              <w:rPr>
                <w:sz w:val="18"/>
              </w:rPr>
              <w:t>normalisation</w:t>
            </w:r>
            <w:proofErr w:type="spellEnd"/>
          </w:p>
        </w:tc>
        <w:tc>
          <w:tcPr>
            <w:tcW w:w="1037" w:type="dxa"/>
            <w:vAlign w:val="center"/>
          </w:tcPr>
          <w:p w14:paraId="705750B2" w14:textId="77777777" w:rsidR="009804A7" w:rsidRDefault="00A66E6B">
            <w:pPr>
              <w:spacing w:before="20" w:after="20"/>
              <w:ind w:firstLine="0"/>
              <w:jc w:val="center"/>
            </w:pPr>
            <w:r>
              <w:rPr>
                <w:sz w:val="18"/>
              </w:rPr>
              <w:t>No</w:t>
            </w:r>
          </w:p>
        </w:tc>
        <w:tc>
          <w:tcPr>
            <w:tcW w:w="1037" w:type="dxa"/>
            <w:vAlign w:val="center"/>
          </w:tcPr>
          <w:p w14:paraId="60BFA0C4" w14:textId="77777777" w:rsidR="009804A7" w:rsidRDefault="00A66E6B">
            <w:pPr>
              <w:spacing w:before="20" w:after="20"/>
              <w:ind w:firstLine="0"/>
              <w:jc w:val="center"/>
            </w:pPr>
            <w:r>
              <w:rPr>
                <w:sz w:val="18"/>
              </w:rPr>
              <w:t>No</w:t>
            </w:r>
          </w:p>
        </w:tc>
        <w:tc>
          <w:tcPr>
            <w:tcW w:w="1037" w:type="dxa"/>
            <w:vAlign w:val="center"/>
          </w:tcPr>
          <w:p w14:paraId="328772D2" w14:textId="77777777" w:rsidR="009804A7" w:rsidRDefault="00A66E6B">
            <w:pPr>
              <w:spacing w:before="20" w:after="20"/>
              <w:ind w:firstLine="0"/>
              <w:jc w:val="center"/>
            </w:pPr>
            <w:r>
              <w:rPr>
                <w:sz w:val="18"/>
              </w:rPr>
              <w:t>No</w:t>
            </w:r>
          </w:p>
        </w:tc>
        <w:tc>
          <w:tcPr>
            <w:tcW w:w="1037" w:type="dxa"/>
            <w:vAlign w:val="center"/>
          </w:tcPr>
          <w:p w14:paraId="114CA02F" w14:textId="77777777" w:rsidR="009804A7" w:rsidRDefault="00A66E6B">
            <w:pPr>
              <w:spacing w:before="20" w:after="20"/>
              <w:ind w:firstLine="0"/>
              <w:jc w:val="center"/>
            </w:pPr>
            <w:r>
              <w:rPr>
                <w:sz w:val="18"/>
              </w:rPr>
              <w:t>Yes</w:t>
            </w:r>
          </w:p>
        </w:tc>
      </w:tr>
      <w:tr w:rsidR="009804A7" w14:paraId="4B7FAABA" w14:textId="77777777">
        <w:tc>
          <w:tcPr>
            <w:tcW w:w="2767" w:type="dxa"/>
            <w:vAlign w:val="center"/>
          </w:tcPr>
          <w:p w14:paraId="66FF5691" w14:textId="77777777" w:rsidR="009804A7" w:rsidRDefault="00A66E6B">
            <w:pPr>
              <w:spacing w:before="20" w:after="20"/>
              <w:ind w:firstLine="0"/>
            </w:pPr>
            <w:r>
              <w:rPr>
                <w:sz w:val="18"/>
              </w:rPr>
              <w:t>Label-free ML detector</w:t>
            </w:r>
          </w:p>
        </w:tc>
        <w:tc>
          <w:tcPr>
            <w:tcW w:w="1037" w:type="dxa"/>
            <w:vAlign w:val="center"/>
          </w:tcPr>
          <w:p w14:paraId="6CA8D49C" w14:textId="77777777" w:rsidR="009804A7" w:rsidRDefault="00A66E6B">
            <w:pPr>
              <w:spacing w:before="20" w:after="20"/>
              <w:ind w:firstLine="0"/>
              <w:jc w:val="center"/>
            </w:pPr>
            <w:r>
              <w:rPr>
                <w:sz w:val="18"/>
              </w:rPr>
              <w:t>No</w:t>
            </w:r>
          </w:p>
        </w:tc>
        <w:tc>
          <w:tcPr>
            <w:tcW w:w="1037" w:type="dxa"/>
            <w:vAlign w:val="center"/>
          </w:tcPr>
          <w:p w14:paraId="23F16002" w14:textId="77777777" w:rsidR="009804A7" w:rsidRDefault="00A66E6B">
            <w:pPr>
              <w:spacing w:before="20" w:after="20"/>
              <w:ind w:firstLine="0"/>
              <w:jc w:val="center"/>
            </w:pPr>
            <w:r>
              <w:rPr>
                <w:sz w:val="18"/>
              </w:rPr>
              <w:t>Partial</w:t>
            </w:r>
          </w:p>
        </w:tc>
        <w:tc>
          <w:tcPr>
            <w:tcW w:w="1037" w:type="dxa"/>
            <w:vAlign w:val="center"/>
          </w:tcPr>
          <w:p w14:paraId="7DFCDF99" w14:textId="77777777" w:rsidR="009804A7" w:rsidRDefault="00A66E6B">
            <w:pPr>
              <w:spacing w:before="20" w:after="20"/>
              <w:ind w:firstLine="0"/>
              <w:jc w:val="center"/>
            </w:pPr>
            <w:r>
              <w:rPr>
                <w:sz w:val="18"/>
              </w:rPr>
              <w:t>Limited</w:t>
            </w:r>
          </w:p>
        </w:tc>
        <w:tc>
          <w:tcPr>
            <w:tcW w:w="1037" w:type="dxa"/>
            <w:vAlign w:val="center"/>
          </w:tcPr>
          <w:p w14:paraId="691AFD98" w14:textId="77777777" w:rsidR="009804A7" w:rsidRDefault="00A66E6B">
            <w:pPr>
              <w:spacing w:before="20" w:after="20"/>
              <w:ind w:firstLine="0"/>
              <w:jc w:val="center"/>
            </w:pPr>
            <w:r>
              <w:rPr>
                <w:sz w:val="18"/>
              </w:rPr>
              <w:t>Yes</w:t>
            </w:r>
          </w:p>
        </w:tc>
      </w:tr>
      <w:tr w:rsidR="009804A7" w14:paraId="7BE24741" w14:textId="77777777">
        <w:tc>
          <w:tcPr>
            <w:tcW w:w="2767" w:type="dxa"/>
            <w:vAlign w:val="center"/>
          </w:tcPr>
          <w:p w14:paraId="7BC57ABB" w14:textId="77777777" w:rsidR="009804A7" w:rsidRDefault="00A66E6B">
            <w:pPr>
              <w:spacing w:before="20" w:after="20"/>
              <w:ind w:firstLine="0"/>
            </w:pPr>
            <w:r>
              <w:rPr>
                <w:sz w:val="18"/>
              </w:rPr>
              <w:t xml:space="preserve">Rarity </w:t>
            </w:r>
            <w:proofErr w:type="spellStart"/>
            <w:r>
              <w:rPr>
                <w:sz w:val="18"/>
              </w:rPr>
              <w:t>signalling</w:t>
            </w:r>
            <w:proofErr w:type="spellEnd"/>
          </w:p>
        </w:tc>
        <w:tc>
          <w:tcPr>
            <w:tcW w:w="1037" w:type="dxa"/>
            <w:vAlign w:val="center"/>
          </w:tcPr>
          <w:p w14:paraId="62025DFB" w14:textId="77777777" w:rsidR="009804A7" w:rsidRDefault="00A66E6B">
            <w:pPr>
              <w:spacing w:before="20" w:after="20"/>
              <w:ind w:firstLine="0"/>
              <w:jc w:val="center"/>
            </w:pPr>
            <w:r>
              <w:rPr>
                <w:sz w:val="18"/>
              </w:rPr>
              <w:t>No</w:t>
            </w:r>
          </w:p>
        </w:tc>
        <w:tc>
          <w:tcPr>
            <w:tcW w:w="1037" w:type="dxa"/>
            <w:vAlign w:val="center"/>
          </w:tcPr>
          <w:p w14:paraId="0FDC3E61" w14:textId="77777777" w:rsidR="009804A7" w:rsidRDefault="00A66E6B">
            <w:pPr>
              <w:spacing w:before="20" w:after="20"/>
              <w:ind w:firstLine="0"/>
              <w:jc w:val="center"/>
            </w:pPr>
            <w:r>
              <w:rPr>
                <w:sz w:val="18"/>
              </w:rPr>
              <w:t>No</w:t>
            </w:r>
          </w:p>
        </w:tc>
        <w:tc>
          <w:tcPr>
            <w:tcW w:w="1037" w:type="dxa"/>
            <w:vAlign w:val="center"/>
          </w:tcPr>
          <w:p w14:paraId="0F51BAB3" w14:textId="77777777" w:rsidR="009804A7" w:rsidRDefault="00A66E6B">
            <w:pPr>
              <w:spacing w:before="20" w:after="20"/>
              <w:ind w:firstLine="0"/>
              <w:jc w:val="center"/>
            </w:pPr>
            <w:r>
              <w:rPr>
                <w:sz w:val="18"/>
              </w:rPr>
              <w:t>No</w:t>
            </w:r>
          </w:p>
        </w:tc>
        <w:tc>
          <w:tcPr>
            <w:tcW w:w="1037" w:type="dxa"/>
            <w:vAlign w:val="center"/>
          </w:tcPr>
          <w:p w14:paraId="4D7425FD" w14:textId="77777777" w:rsidR="009804A7" w:rsidRDefault="00A66E6B">
            <w:pPr>
              <w:spacing w:before="20" w:after="20"/>
              <w:ind w:firstLine="0"/>
              <w:jc w:val="center"/>
            </w:pPr>
            <w:r>
              <w:rPr>
                <w:sz w:val="18"/>
              </w:rPr>
              <w:t>Yes</w:t>
            </w:r>
          </w:p>
        </w:tc>
      </w:tr>
      <w:tr w:rsidR="009804A7" w14:paraId="3F2C6C84" w14:textId="77777777">
        <w:tc>
          <w:tcPr>
            <w:tcW w:w="2767" w:type="dxa"/>
            <w:vAlign w:val="center"/>
          </w:tcPr>
          <w:p w14:paraId="32D47B7B" w14:textId="77777777" w:rsidR="009804A7" w:rsidRDefault="00A66E6B">
            <w:pPr>
              <w:spacing w:before="20" w:after="20"/>
              <w:ind w:firstLine="0"/>
            </w:pPr>
            <w:r>
              <w:rPr>
                <w:sz w:val="18"/>
              </w:rPr>
              <w:lastRenderedPageBreak/>
              <w:t>SHAP + LLM explainability</w:t>
            </w:r>
          </w:p>
        </w:tc>
        <w:tc>
          <w:tcPr>
            <w:tcW w:w="1037" w:type="dxa"/>
            <w:vAlign w:val="center"/>
          </w:tcPr>
          <w:p w14:paraId="1C91E2B2" w14:textId="77777777" w:rsidR="009804A7" w:rsidRDefault="00A66E6B">
            <w:pPr>
              <w:spacing w:before="20" w:after="20"/>
              <w:ind w:firstLine="0"/>
              <w:jc w:val="center"/>
            </w:pPr>
            <w:r>
              <w:rPr>
                <w:sz w:val="18"/>
              </w:rPr>
              <w:t>No</w:t>
            </w:r>
          </w:p>
        </w:tc>
        <w:tc>
          <w:tcPr>
            <w:tcW w:w="1037" w:type="dxa"/>
            <w:vAlign w:val="center"/>
          </w:tcPr>
          <w:p w14:paraId="23B2854E" w14:textId="77777777" w:rsidR="009804A7" w:rsidRDefault="00A66E6B">
            <w:pPr>
              <w:spacing w:before="20" w:after="20"/>
              <w:ind w:firstLine="0"/>
              <w:jc w:val="center"/>
            </w:pPr>
            <w:r>
              <w:rPr>
                <w:sz w:val="18"/>
              </w:rPr>
              <w:t>No</w:t>
            </w:r>
          </w:p>
        </w:tc>
        <w:tc>
          <w:tcPr>
            <w:tcW w:w="1037" w:type="dxa"/>
            <w:vAlign w:val="center"/>
          </w:tcPr>
          <w:p w14:paraId="12B0D57C" w14:textId="77777777" w:rsidR="009804A7" w:rsidRDefault="00A66E6B">
            <w:pPr>
              <w:spacing w:before="20" w:after="20"/>
              <w:ind w:firstLine="0"/>
              <w:jc w:val="center"/>
            </w:pPr>
            <w:r>
              <w:rPr>
                <w:sz w:val="18"/>
              </w:rPr>
              <w:t>No</w:t>
            </w:r>
          </w:p>
        </w:tc>
        <w:tc>
          <w:tcPr>
            <w:tcW w:w="1037" w:type="dxa"/>
            <w:vAlign w:val="center"/>
          </w:tcPr>
          <w:p w14:paraId="24FAA8DA" w14:textId="77777777" w:rsidR="009804A7" w:rsidRDefault="00A66E6B">
            <w:pPr>
              <w:spacing w:before="20" w:after="20"/>
              <w:ind w:firstLine="0"/>
              <w:jc w:val="center"/>
            </w:pPr>
            <w:r>
              <w:rPr>
                <w:sz w:val="18"/>
              </w:rPr>
              <w:t>Yes</w:t>
            </w:r>
          </w:p>
        </w:tc>
      </w:tr>
      <w:tr w:rsidR="009804A7" w14:paraId="52463AF6" w14:textId="77777777">
        <w:tc>
          <w:tcPr>
            <w:tcW w:w="2767" w:type="dxa"/>
            <w:vAlign w:val="center"/>
          </w:tcPr>
          <w:p w14:paraId="264BDC12" w14:textId="77777777" w:rsidR="009804A7" w:rsidRDefault="00A66E6B">
            <w:pPr>
              <w:spacing w:before="20" w:after="20"/>
              <w:ind w:firstLine="0"/>
            </w:pPr>
            <w:r>
              <w:rPr>
                <w:sz w:val="18"/>
              </w:rPr>
              <w:t>Academic + real-world eval</w:t>
            </w:r>
          </w:p>
        </w:tc>
        <w:tc>
          <w:tcPr>
            <w:tcW w:w="1037" w:type="dxa"/>
            <w:vAlign w:val="center"/>
          </w:tcPr>
          <w:p w14:paraId="47466964" w14:textId="77777777" w:rsidR="009804A7" w:rsidRDefault="00A66E6B">
            <w:pPr>
              <w:spacing w:before="20" w:after="20"/>
              <w:ind w:firstLine="0"/>
              <w:jc w:val="center"/>
            </w:pPr>
            <w:r>
              <w:rPr>
                <w:sz w:val="18"/>
              </w:rPr>
              <w:t>No</w:t>
            </w:r>
          </w:p>
        </w:tc>
        <w:tc>
          <w:tcPr>
            <w:tcW w:w="1037" w:type="dxa"/>
            <w:vAlign w:val="center"/>
          </w:tcPr>
          <w:p w14:paraId="73460CC6" w14:textId="77777777" w:rsidR="009804A7" w:rsidRDefault="00A66E6B">
            <w:pPr>
              <w:spacing w:before="20" w:after="20"/>
              <w:ind w:firstLine="0"/>
              <w:jc w:val="center"/>
            </w:pPr>
            <w:r>
              <w:rPr>
                <w:sz w:val="18"/>
              </w:rPr>
              <w:t>No</w:t>
            </w:r>
          </w:p>
        </w:tc>
        <w:tc>
          <w:tcPr>
            <w:tcW w:w="1037" w:type="dxa"/>
            <w:vAlign w:val="center"/>
          </w:tcPr>
          <w:p w14:paraId="6164F3E6" w14:textId="77777777" w:rsidR="009804A7" w:rsidRDefault="00A66E6B">
            <w:pPr>
              <w:spacing w:before="20" w:after="20"/>
              <w:ind w:firstLine="0"/>
              <w:jc w:val="center"/>
            </w:pPr>
            <w:r>
              <w:rPr>
                <w:sz w:val="18"/>
              </w:rPr>
              <w:t>No</w:t>
            </w:r>
          </w:p>
        </w:tc>
        <w:tc>
          <w:tcPr>
            <w:tcW w:w="1037" w:type="dxa"/>
            <w:vAlign w:val="center"/>
          </w:tcPr>
          <w:p w14:paraId="78EDB503" w14:textId="77777777" w:rsidR="009804A7" w:rsidRDefault="00A66E6B">
            <w:pPr>
              <w:spacing w:before="20" w:after="20"/>
              <w:ind w:firstLine="0"/>
              <w:jc w:val="center"/>
            </w:pPr>
            <w:r>
              <w:rPr>
                <w:sz w:val="18"/>
              </w:rPr>
              <w:t>Yes</w:t>
            </w:r>
          </w:p>
        </w:tc>
      </w:tr>
    </w:tbl>
    <w:p w14:paraId="6B50C768" w14:textId="77777777" w:rsidR="009804A7" w:rsidRDefault="00A66E6B">
      <w:pPr>
        <w:pStyle w:val="image"/>
      </w:pPr>
      <w:r>
        <w:rPr>
          <w:noProof/>
        </w:rPr>
        <w:drawing>
          <wp:inline distT="0" distB="0" distL="0" distR="0" wp14:anchorId="042BC550" wp14:editId="1E3D3D92">
            <wp:extent cx="3601720" cy="2401146"/>
            <wp:effectExtent l="0" t="0" r="0" b="0"/>
            <wp:docPr id="103" nam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10"/>
                    <a:stretch>
                      <a:fillRect/>
                    </a:stretch>
                  </pic:blipFill>
                  <pic:spPr>
                    <a:xfrm>
                      <a:off x="0" y="0"/>
                      <a:ext cx="3601720" cy="2401146"/>
                    </a:xfrm>
                    <a:prstGeom prst="rect">
                      <a:avLst/>
                    </a:prstGeom>
                  </pic:spPr>
                </pic:pic>
              </a:graphicData>
            </a:graphic>
          </wp:inline>
        </w:drawing>
      </w:r>
    </w:p>
    <w:p w14:paraId="14FECB08" w14:textId="77777777" w:rsidR="009804A7" w:rsidRDefault="00A66E6B">
      <w:pPr>
        <w:pStyle w:val="figurecaption"/>
      </w:pPr>
      <w:r>
        <w:t xml:space="preserve">Fig. 3. Mean absolute SHAP attribution for the most influential </w:t>
      </w:r>
      <w:proofErr w:type="spellStart"/>
      <w:r>
        <w:t>behavioural</w:t>
      </w:r>
      <w:proofErr w:type="spellEnd"/>
      <w:r>
        <w:t xml:space="preserve"> features.</w:t>
      </w:r>
    </w:p>
    <w:p w14:paraId="0DBFBB44" w14:textId="77777777" w:rsidR="009804A7" w:rsidRDefault="00A66E6B">
      <w:pPr>
        <w:pStyle w:val="heading1"/>
      </w:pPr>
      <w:r>
        <w:t>Discussion</w:t>
      </w:r>
    </w:p>
    <w:p w14:paraId="0F7FCC83" w14:textId="77777777" w:rsidR="009804A7" w:rsidRDefault="00A66E6B">
      <w:pPr>
        <w:pStyle w:val="heading2"/>
      </w:pPr>
      <w:r>
        <w:t>Strengths</w:t>
      </w:r>
    </w:p>
    <w:p w14:paraId="34D588E5" w14:textId="77777777" w:rsidR="009804A7" w:rsidRDefault="00A66E6B">
      <w:pPr>
        <w:pStyle w:val="p1a"/>
      </w:pPr>
      <w:r>
        <w:t xml:space="preserve">Training only </w:t>
      </w:r>
      <w:proofErr w:type="gramStart"/>
      <w:r>
        <w:t>on</w:t>
      </w:r>
      <w:proofErr w:type="gramEnd"/>
      <w:r>
        <w:t xml:space="preserve"> normal </w:t>
      </w:r>
      <w:proofErr w:type="spellStart"/>
      <w:r>
        <w:t>behaviour</w:t>
      </w:r>
      <w:proofErr w:type="spellEnd"/>
      <w:r>
        <w:t xml:space="preserve"> means Argus needs no labelled attacks, which are scarce and quickly stale in practice; yet it reaches roughly 90% of supervised accuracy. The rarity signals and SHAP attribution give analysts an immediate, human-readable rationale for each alert — a capability absent from every open-source tool evaluated — and the LLM assistant lowers cognitive load by narrating that rationale in plain language. The source-agnostic </w:t>
      </w:r>
      <w:proofErr w:type="spellStart"/>
      <w:r>
        <w:t>normalisation</w:t>
      </w:r>
      <w:proofErr w:type="spellEnd"/>
      <w:r>
        <w:t xml:space="preserve"> layer makes adding a new cloud provider a one-parser change</w:t>
      </w:r>
      <w:r>
        <w:t>.</w:t>
      </w:r>
    </w:p>
    <w:p w14:paraId="7EF181B8" w14:textId="77777777" w:rsidR="009804A7" w:rsidRDefault="00A66E6B">
      <w:pPr>
        <w:pStyle w:val="heading2"/>
      </w:pPr>
      <w:r>
        <w:t>Limitations and Future Work</w:t>
      </w:r>
    </w:p>
    <w:p w14:paraId="120A6975" w14:textId="77777777" w:rsidR="009804A7" w:rsidRDefault="00A66E6B">
      <w:pPr>
        <w:pStyle w:val="p1a"/>
      </w:pPr>
      <w:r>
        <w:t xml:space="preserve">Several limitations remain. The CERT dataset, though the standard academic benchmark, is simulated; the </w:t>
      </w:r>
      <w:proofErr w:type="spellStart"/>
      <w:proofErr w:type="gramStart"/>
      <w:r>
        <w:t>flaws.cloud</w:t>
      </w:r>
      <w:proofErr w:type="spellEnd"/>
      <w:proofErr w:type="gramEnd"/>
      <w:r>
        <w:t xml:space="preserve"> and live-replay results mitigate but do not fully remove this concern. The system does not yet detect model drift as legitimate </w:t>
      </w:r>
      <w:proofErr w:type="spellStart"/>
      <w:r>
        <w:t>behaviour</w:t>
      </w:r>
      <w:proofErr w:type="spellEnd"/>
      <w:r>
        <w:t xml:space="preserve"> evolves; future work will add KL-divergence drift detection with periodic retraining. A patient adversary could behave normally during baseline construction to poison it; adversarial-robustness evaluation is warranted. Finally, full streaming ingestion via a message bus such as Kafka is deferred as a scaling extension.</w:t>
      </w:r>
    </w:p>
    <w:p w14:paraId="347C597D" w14:textId="77777777" w:rsidR="009804A7" w:rsidRDefault="00A66E6B">
      <w:pPr>
        <w:pStyle w:val="heading1"/>
      </w:pPr>
      <w:r>
        <w:lastRenderedPageBreak/>
        <w:t>Conclusion</w:t>
      </w:r>
    </w:p>
    <w:p w14:paraId="2181DBCA" w14:textId="77777777" w:rsidR="009804A7" w:rsidRDefault="00A66E6B">
      <w:pPr>
        <w:pStyle w:val="p1a"/>
      </w:pPr>
      <w:r>
        <w:t xml:space="preserve">This paper presented Argus, a cloud-native UEBA platform that detects insider threats without labelled attack data. A four-source </w:t>
      </w:r>
      <w:proofErr w:type="spellStart"/>
      <w:r>
        <w:t>normalisation</w:t>
      </w:r>
      <w:proofErr w:type="spellEnd"/>
      <w:r>
        <w:t xml:space="preserve"> layer unifies AWS, Azure, Cloudflare and GitHub logs into one schema; a label-free autoencoder serves as the final detector, supported by interpretable rarity and rule baselines; and SHAP attribution with an LLM assistant explains every alert. On CERT r4.2 the autoencoder achieves AUROC 0.976, AUPRC 0.851 and F1 0.787, and external validation on </w:t>
      </w:r>
      <w:proofErr w:type="spellStart"/>
      <w:proofErr w:type="gramStart"/>
      <w:r>
        <w:t>flaws.cloud</w:t>
      </w:r>
      <w:proofErr w:type="spellEnd"/>
      <w:proofErr w:type="gramEnd"/>
      <w:r>
        <w:t xml:space="preserve"> (AUROC 0.724) and a live streaming replay (AUROC 0.917) confirms its real-world viability. The work shows that effective, explainable, clo</w:t>
      </w:r>
      <w:r>
        <w:t>ud-native insider-threat detection is achievable with open-source tools and custom unsupervised learning, without reliance on costly commercial platforms.</w:t>
      </w:r>
    </w:p>
    <w:p w14:paraId="0DD9A3E3" w14:textId="77777777" w:rsidR="009804A7" w:rsidRDefault="00A66E6B">
      <w:pPr>
        <w:pStyle w:val="acknowlegments"/>
      </w:pPr>
      <w:r>
        <w:t>Acknowledgments. The author thanks the supervisor and the Faculty of Computer Science and Information Technology, Universiti Malaya, for their guidance and support, and Carnegie Mellon University for providing the CERT Insider Threat Dataset.</w:t>
      </w:r>
    </w:p>
    <w:p w14:paraId="7170E439" w14:textId="77777777" w:rsidR="009804A7" w:rsidRDefault="00A66E6B">
      <w:pPr>
        <w:pStyle w:val="acknowlegments"/>
      </w:pPr>
      <w:r>
        <w:t>Disclosure of Interests. The authors declare that they have no competing interests.</w:t>
      </w:r>
    </w:p>
    <w:p w14:paraId="12F057B8" w14:textId="77777777" w:rsidR="009804A7" w:rsidRDefault="00A66E6B">
      <w:pPr>
        <w:pStyle w:val="heading1"/>
      </w:pPr>
      <w:r>
        <w:t>References</w:t>
      </w:r>
    </w:p>
    <w:p w14:paraId="2961EECF" w14:textId="77777777" w:rsidR="009804A7" w:rsidRDefault="00A66E6B">
      <w:pPr>
        <w:pStyle w:val="referenceitem"/>
      </w:pPr>
      <w:r>
        <w:t>Verizon: 2025 Data Breach Investigations Report. Verizon Enterprise Solutions (2025)</w:t>
      </w:r>
    </w:p>
    <w:p w14:paraId="2D13412F" w14:textId="77777777" w:rsidR="009804A7" w:rsidRDefault="00A66E6B">
      <w:pPr>
        <w:pStyle w:val="referenceitem"/>
      </w:pPr>
      <w:proofErr w:type="spellStart"/>
      <w:r>
        <w:t>Ponemon</w:t>
      </w:r>
      <w:proofErr w:type="spellEnd"/>
      <w:r>
        <w:t xml:space="preserve"> Institute: 2025 Cost of Insider Risks Global Report. Proofpoint (2025)</w:t>
      </w:r>
    </w:p>
    <w:p w14:paraId="56B87493" w14:textId="77777777" w:rsidR="009804A7" w:rsidRDefault="00A66E6B">
      <w:pPr>
        <w:pStyle w:val="referenceitem"/>
      </w:pPr>
      <w:r>
        <w:t>Gartner: Market Guide for User and Entity Behavior Analytics. Gartner Research (2015)</w:t>
      </w:r>
    </w:p>
    <w:p w14:paraId="7D5D16B2" w14:textId="77777777" w:rsidR="009804A7" w:rsidRDefault="00A66E6B">
      <w:pPr>
        <w:pStyle w:val="referenceitem"/>
      </w:pPr>
      <w:r>
        <w:t xml:space="preserve">Datta, J., Dasgupta, S., Dasgupta, R., Reddy, K.R.: Real-time threat detection in UEBA using unsupervised learning algorithms. In: Proc. IEEE </w:t>
      </w:r>
      <w:proofErr w:type="spellStart"/>
      <w:r>
        <w:t>IEMENTech</w:t>
      </w:r>
      <w:proofErr w:type="spellEnd"/>
      <w:r>
        <w:t xml:space="preserve"> (2021)</w:t>
      </w:r>
    </w:p>
    <w:p w14:paraId="773CAF0F" w14:textId="77777777" w:rsidR="009804A7" w:rsidRDefault="00A66E6B">
      <w:pPr>
        <w:pStyle w:val="referenceitem"/>
      </w:pPr>
      <w:r>
        <w:t xml:space="preserve">Liu, F.T., Ting, K.M., Zhou, Z.H.: </w:t>
      </w:r>
      <w:proofErr w:type="gramStart"/>
      <w:r>
        <w:t>Isolation forest</w:t>
      </w:r>
      <w:proofErr w:type="gramEnd"/>
      <w:r>
        <w:t>. In: Proc. IEEE ICDM, pp. 413–422 (2008)</w:t>
      </w:r>
    </w:p>
    <w:p w14:paraId="6E14D127" w14:textId="77777777" w:rsidR="009804A7" w:rsidRDefault="00A66E6B">
      <w:pPr>
        <w:pStyle w:val="referenceitem"/>
      </w:pPr>
      <w:r>
        <w:t xml:space="preserve">Inayat, U., Farzan, M., Mahmood, S., Zia, M.F., Hussain, S., </w:t>
      </w:r>
      <w:proofErr w:type="spellStart"/>
      <w:r>
        <w:t>Pallonetto</w:t>
      </w:r>
      <w:proofErr w:type="spellEnd"/>
      <w:r>
        <w:t>, F.: Insider threat mitigation: a systematic literature review. Ain Shams Engineering Journal 15(12) (2024)</w:t>
      </w:r>
    </w:p>
    <w:p w14:paraId="2FA8A501" w14:textId="77777777" w:rsidR="009804A7" w:rsidRDefault="00A66E6B">
      <w:pPr>
        <w:pStyle w:val="referenceitem"/>
      </w:pPr>
      <w:r>
        <w:t>Lundberg, S.M., Lee, S.I.: A unified approach to interpreting model predictions. In: Advances in Neural Information Processing Systems, vol. 30 (2017)</w:t>
      </w:r>
    </w:p>
    <w:p w14:paraId="73CED720" w14:textId="77777777" w:rsidR="009804A7" w:rsidRDefault="00A66E6B">
      <w:pPr>
        <w:pStyle w:val="referenceitem"/>
      </w:pPr>
      <w:r>
        <w:t>Sharma, G., Thakur, A., Tiwari, C.: Developing a comprehensive framework for UEBA: integrating advanced ML and contextual insights. Journal of Communication Engineering &amp; Systems (2024)</w:t>
      </w:r>
    </w:p>
    <w:p w14:paraId="611FD691" w14:textId="77777777" w:rsidR="009804A7" w:rsidRDefault="00A66E6B">
      <w:pPr>
        <w:pStyle w:val="referenceitem"/>
      </w:pPr>
      <w:r>
        <w:t>European Parliament: Regulation (EU) 2024/1689 — Artificial Intelligence Act. Official Journal of the European Union (2024)</w:t>
      </w:r>
    </w:p>
    <w:p w14:paraId="1D7760E7" w14:textId="77777777" w:rsidR="009804A7" w:rsidRDefault="00A66E6B">
      <w:pPr>
        <w:pStyle w:val="referenceitem"/>
      </w:pPr>
      <w:proofErr w:type="spellStart"/>
      <w:r>
        <w:t>Wazuh</w:t>
      </w:r>
      <w:proofErr w:type="spellEnd"/>
      <w:r>
        <w:t xml:space="preserve">: The </w:t>
      </w:r>
      <w:proofErr w:type="gramStart"/>
      <w:r>
        <w:t>Open Source</w:t>
      </w:r>
      <w:proofErr w:type="gramEnd"/>
      <w:r>
        <w:t xml:space="preserve"> Security Platform. GitHub </w:t>
      </w:r>
      <w:proofErr w:type="gramStart"/>
      <w:r>
        <w:t>repository, https://github.com/wazuh/wazuh</w:t>
      </w:r>
      <w:proofErr w:type="gramEnd"/>
      <w:r>
        <w:t>, last accessed 2025/05/30</w:t>
      </w:r>
    </w:p>
    <w:p w14:paraId="07CD4ACC" w14:textId="77777777" w:rsidR="009804A7" w:rsidRDefault="00A66E6B">
      <w:pPr>
        <w:pStyle w:val="referenceitem"/>
      </w:pPr>
      <w:r>
        <w:t>Glasser, J., Lindauer, B.: Bridging the gap: a pragmatic approach to generating insider threat data. In: Proc. IEEE Security and Privacy Workshops (2013)</w:t>
      </w:r>
    </w:p>
    <w:sectPr w:rsidR="009804A7" w:rsidSect="009F7FCE">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DB94" w14:textId="77777777" w:rsidR="00A66E6B" w:rsidRDefault="00A66E6B">
      <w:r>
        <w:separator/>
      </w:r>
    </w:p>
  </w:endnote>
  <w:endnote w:type="continuationSeparator" w:id="0">
    <w:p w14:paraId="4BA1022A" w14:textId="77777777" w:rsidR="00A66E6B" w:rsidRDefault="00A66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603DD" w14:textId="77777777" w:rsidR="00A66E6B" w:rsidRDefault="00A66E6B" w:rsidP="009F7FCE">
      <w:pPr>
        <w:ind w:firstLine="0"/>
      </w:pPr>
      <w:r>
        <w:separator/>
      </w:r>
    </w:p>
  </w:footnote>
  <w:footnote w:type="continuationSeparator" w:id="0">
    <w:p w14:paraId="6D23835D" w14:textId="77777777" w:rsidR="00A66E6B" w:rsidRDefault="00A66E6B" w:rsidP="009F7FCE">
      <w:pPr>
        <w:ind w:firstLin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D0B11"/>
    <w:multiLevelType w:val="multilevel"/>
    <w:tmpl w:val="18060B20"/>
    <w:lvl w:ilvl="0">
      <w:start w:val="2"/>
      <w:numFmt w:val="decimal"/>
      <w:lvlText w:val="%1"/>
      <w:lvlJc w:val="left"/>
      <w:pPr>
        <w:ind w:left="1381" w:hanging="568"/>
      </w:pPr>
      <w:rPr>
        <w:rFonts w:hint="default"/>
      </w:rPr>
    </w:lvl>
    <w:lvl w:ilvl="1">
      <w:start w:val="1"/>
      <w:numFmt w:val="decimal"/>
      <w:lvlText w:val="%1.%2"/>
      <w:lvlJc w:val="left"/>
      <w:pPr>
        <w:ind w:left="1381" w:hanging="568"/>
      </w:pPr>
      <w:rPr>
        <w:rFonts w:ascii="Times New Roman" w:eastAsia="Times New Roman" w:hAnsi="Times New Roman" w:cs="Times New Roman" w:hint="default"/>
        <w:b/>
        <w:bCs/>
        <w:spacing w:val="-1"/>
        <w:w w:val="100"/>
        <w:sz w:val="20"/>
        <w:szCs w:val="20"/>
      </w:rPr>
    </w:lvl>
    <w:lvl w:ilvl="2">
      <w:numFmt w:val="bullet"/>
      <w:lvlText w:val=""/>
      <w:lvlJc w:val="left"/>
      <w:pPr>
        <w:ind w:left="1533" w:hanging="348"/>
      </w:pPr>
      <w:rPr>
        <w:rFonts w:ascii="Symbol" w:eastAsia="Symbol" w:hAnsi="Symbol" w:cs="Symbol" w:hint="default"/>
        <w:w w:val="100"/>
        <w:sz w:val="20"/>
        <w:szCs w:val="20"/>
      </w:rPr>
    </w:lvl>
    <w:lvl w:ilvl="3">
      <w:numFmt w:val="bullet"/>
      <w:lvlText w:val="•"/>
      <w:lvlJc w:val="left"/>
      <w:pPr>
        <w:ind w:left="3096" w:hanging="348"/>
      </w:pPr>
      <w:rPr>
        <w:rFonts w:hint="default"/>
      </w:rPr>
    </w:lvl>
    <w:lvl w:ilvl="4">
      <w:numFmt w:val="bullet"/>
      <w:lvlText w:val="•"/>
      <w:lvlJc w:val="left"/>
      <w:pPr>
        <w:ind w:left="3874" w:hanging="348"/>
      </w:pPr>
      <w:rPr>
        <w:rFonts w:hint="default"/>
      </w:rPr>
    </w:lvl>
    <w:lvl w:ilvl="5">
      <w:numFmt w:val="bullet"/>
      <w:lvlText w:val="•"/>
      <w:lvlJc w:val="left"/>
      <w:pPr>
        <w:ind w:left="4653" w:hanging="348"/>
      </w:pPr>
      <w:rPr>
        <w:rFonts w:hint="default"/>
      </w:rPr>
    </w:lvl>
    <w:lvl w:ilvl="6">
      <w:numFmt w:val="bullet"/>
      <w:lvlText w:val="•"/>
      <w:lvlJc w:val="left"/>
      <w:pPr>
        <w:ind w:left="5431" w:hanging="348"/>
      </w:pPr>
      <w:rPr>
        <w:rFonts w:hint="default"/>
      </w:rPr>
    </w:lvl>
    <w:lvl w:ilvl="7">
      <w:numFmt w:val="bullet"/>
      <w:lvlText w:val="•"/>
      <w:lvlJc w:val="left"/>
      <w:pPr>
        <w:ind w:left="6209" w:hanging="348"/>
      </w:pPr>
      <w:rPr>
        <w:rFonts w:hint="default"/>
      </w:rPr>
    </w:lvl>
    <w:lvl w:ilvl="8">
      <w:numFmt w:val="bullet"/>
      <w:lvlText w:val="•"/>
      <w:lvlJc w:val="left"/>
      <w:pPr>
        <w:ind w:left="6987" w:hanging="348"/>
      </w:pPr>
      <w:rPr>
        <w:rFonts w:hint="default"/>
      </w:r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2E9016E5"/>
    <w:multiLevelType w:val="multilevel"/>
    <w:tmpl w:val="0F2454F6"/>
    <w:lvl w:ilvl="0">
      <w:start w:val="1"/>
      <w:numFmt w:val="decimal"/>
      <w:lvlText w:val="%1"/>
      <w:lvlJc w:val="left"/>
      <w:pPr>
        <w:ind w:left="1381" w:hanging="568"/>
      </w:pPr>
      <w:rPr>
        <w:rFonts w:ascii="Times New Roman" w:eastAsia="Times New Roman" w:hAnsi="Times New Roman" w:cs="Times New Roman"/>
        <w:b/>
        <w:sz w:val="24"/>
        <w:szCs w:val="24"/>
      </w:rPr>
    </w:lvl>
    <w:lvl w:ilvl="1">
      <w:numFmt w:val="bullet"/>
      <w:lvlText w:val="●"/>
      <w:lvlJc w:val="left"/>
      <w:pPr>
        <w:ind w:left="1533" w:hanging="347"/>
      </w:pPr>
      <w:rPr>
        <w:rFonts w:ascii="Noto Sans Symbols" w:eastAsia="Noto Sans Symbols" w:hAnsi="Noto Sans Symbols" w:cs="Noto Sans Symbols"/>
        <w:sz w:val="20"/>
        <w:szCs w:val="20"/>
      </w:rPr>
    </w:lvl>
    <w:lvl w:ilvl="2">
      <w:numFmt w:val="bullet"/>
      <w:lvlText w:val="•"/>
      <w:lvlJc w:val="left"/>
      <w:pPr>
        <w:ind w:left="2318" w:hanging="348"/>
      </w:pPr>
    </w:lvl>
    <w:lvl w:ilvl="3">
      <w:numFmt w:val="bullet"/>
      <w:lvlText w:val="•"/>
      <w:lvlJc w:val="left"/>
      <w:pPr>
        <w:ind w:left="3096" w:hanging="348"/>
      </w:pPr>
    </w:lvl>
    <w:lvl w:ilvl="4">
      <w:numFmt w:val="bullet"/>
      <w:lvlText w:val="•"/>
      <w:lvlJc w:val="left"/>
      <w:pPr>
        <w:ind w:left="3874" w:hanging="348"/>
      </w:pPr>
    </w:lvl>
    <w:lvl w:ilvl="5">
      <w:numFmt w:val="bullet"/>
      <w:lvlText w:val="•"/>
      <w:lvlJc w:val="left"/>
      <w:pPr>
        <w:ind w:left="4653" w:hanging="348"/>
      </w:pPr>
    </w:lvl>
    <w:lvl w:ilvl="6">
      <w:numFmt w:val="bullet"/>
      <w:lvlText w:val="•"/>
      <w:lvlJc w:val="left"/>
      <w:pPr>
        <w:ind w:left="5431" w:hanging="348"/>
      </w:pPr>
    </w:lvl>
    <w:lvl w:ilvl="7">
      <w:numFmt w:val="bullet"/>
      <w:lvlText w:val="•"/>
      <w:lvlJc w:val="left"/>
      <w:pPr>
        <w:ind w:left="6209" w:hanging="348"/>
      </w:pPr>
    </w:lvl>
    <w:lvl w:ilvl="8">
      <w:numFmt w:val="bullet"/>
      <w:lvlText w:val="•"/>
      <w:lvlJc w:val="left"/>
      <w:pPr>
        <w:ind w:left="6987" w:hanging="347"/>
      </w:pPr>
    </w:lvl>
  </w:abstractNum>
  <w:abstractNum w:abstractNumId="3" w15:restartNumberingAfterBreak="0">
    <w:nsid w:val="4732172D"/>
    <w:multiLevelType w:val="multilevel"/>
    <w:tmpl w:val="92AAE6D0"/>
    <w:lvl w:ilvl="0">
      <w:start w:val="2"/>
      <w:numFmt w:val="decimal"/>
      <w:lvlText w:val="%1"/>
      <w:lvlJc w:val="left"/>
      <w:pPr>
        <w:ind w:left="1381" w:hanging="568"/>
      </w:pPr>
    </w:lvl>
    <w:lvl w:ilvl="1">
      <w:start w:val="1"/>
      <w:numFmt w:val="decimal"/>
      <w:lvlText w:val="%1.%2"/>
      <w:lvlJc w:val="left"/>
      <w:pPr>
        <w:ind w:left="1381" w:hanging="568"/>
      </w:pPr>
      <w:rPr>
        <w:rFonts w:ascii="Times New Roman" w:eastAsia="Times New Roman" w:hAnsi="Times New Roman" w:cs="Times New Roman"/>
        <w:b/>
        <w:sz w:val="20"/>
        <w:szCs w:val="20"/>
      </w:rPr>
    </w:lvl>
    <w:lvl w:ilvl="2">
      <w:numFmt w:val="bullet"/>
      <w:lvlText w:val="●"/>
      <w:lvlJc w:val="left"/>
      <w:pPr>
        <w:ind w:left="1533" w:hanging="347"/>
      </w:pPr>
      <w:rPr>
        <w:rFonts w:ascii="Noto Sans Symbols" w:eastAsia="Noto Sans Symbols" w:hAnsi="Noto Sans Symbols" w:cs="Noto Sans Symbols"/>
        <w:sz w:val="20"/>
        <w:szCs w:val="20"/>
      </w:rPr>
    </w:lvl>
    <w:lvl w:ilvl="3">
      <w:numFmt w:val="bullet"/>
      <w:lvlText w:val="•"/>
      <w:lvlJc w:val="left"/>
      <w:pPr>
        <w:ind w:left="3096" w:hanging="348"/>
      </w:pPr>
    </w:lvl>
    <w:lvl w:ilvl="4">
      <w:numFmt w:val="bullet"/>
      <w:lvlText w:val="•"/>
      <w:lvlJc w:val="left"/>
      <w:pPr>
        <w:ind w:left="3874" w:hanging="348"/>
      </w:pPr>
    </w:lvl>
    <w:lvl w:ilvl="5">
      <w:numFmt w:val="bullet"/>
      <w:lvlText w:val="•"/>
      <w:lvlJc w:val="left"/>
      <w:pPr>
        <w:ind w:left="4653" w:hanging="348"/>
      </w:pPr>
    </w:lvl>
    <w:lvl w:ilvl="6">
      <w:numFmt w:val="bullet"/>
      <w:lvlText w:val="•"/>
      <w:lvlJc w:val="left"/>
      <w:pPr>
        <w:ind w:left="5431" w:hanging="348"/>
      </w:pPr>
    </w:lvl>
    <w:lvl w:ilvl="7">
      <w:numFmt w:val="bullet"/>
      <w:lvlText w:val="•"/>
      <w:lvlJc w:val="left"/>
      <w:pPr>
        <w:ind w:left="6209" w:hanging="348"/>
      </w:pPr>
    </w:lvl>
    <w:lvl w:ilvl="8">
      <w:numFmt w:val="bullet"/>
      <w:lvlText w:val="•"/>
      <w:lvlJc w:val="left"/>
      <w:pPr>
        <w:ind w:left="6987" w:hanging="347"/>
      </w:pPr>
    </w:lvl>
  </w:abstractNum>
  <w:abstractNum w:abstractNumId="4"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906457062">
    <w:abstractNumId w:val="1"/>
  </w:num>
  <w:num w:numId="2" w16cid:durableId="1702393793">
    <w:abstractNumId w:val="1"/>
  </w:num>
  <w:num w:numId="3" w16cid:durableId="2007005995">
    <w:abstractNumId w:val="4"/>
  </w:num>
  <w:num w:numId="4" w16cid:durableId="1851676033">
    <w:abstractNumId w:val="4"/>
  </w:num>
  <w:num w:numId="5" w16cid:durableId="492333002">
    <w:abstractNumId w:val="6"/>
  </w:num>
  <w:num w:numId="6" w16cid:durableId="1449739007">
    <w:abstractNumId w:val="6"/>
  </w:num>
  <w:num w:numId="7" w16cid:durableId="1290010973">
    <w:abstractNumId w:val="5"/>
  </w:num>
  <w:num w:numId="8" w16cid:durableId="360208781">
    <w:abstractNumId w:val="7"/>
  </w:num>
  <w:num w:numId="9" w16cid:durableId="453670742">
    <w:abstractNumId w:val="7"/>
  </w:num>
  <w:num w:numId="10" w16cid:durableId="584385872">
    <w:abstractNumId w:val="0"/>
  </w:num>
  <w:num w:numId="11" w16cid:durableId="486020515">
    <w:abstractNumId w:val="3"/>
  </w:num>
  <w:num w:numId="12" w16cid:durableId="184937094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O0MDQwN7cwNDGzMDNW0lEKTi0uzszPAykwqgUAn784qiwAAAA="/>
  </w:docVars>
  <w:rsids>
    <w:rsidRoot w:val="009F7FCE"/>
    <w:rsid w:val="00045F6D"/>
    <w:rsid w:val="00165526"/>
    <w:rsid w:val="0017326D"/>
    <w:rsid w:val="00196663"/>
    <w:rsid w:val="00215EA0"/>
    <w:rsid w:val="00242BF8"/>
    <w:rsid w:val="002C6232"/>
    <w:rsid w:val="00427D52"/>
    <w:rsid w:val="0044773B"/>
    <w:rsid w:val="00462179"/>
    <w:rsid w:val="0053485C"/>
    <w:rsid w:val="005767C5"/>
    <w:rsid w:val="005B4689"/>
    <w:rsid w:val="007437ED"/>
    <w:rsid w:val="007636A3"/>
    <w:rsid w:val="00775E1A"/>
    <w:rsid w:val="008F0A24"/>
    <w:rsid w:val="00923CE3"/>
    <w:rsid w:val="00937598"/>
    <w:rsid w:val="00941264"/>
    <w:rsid w:val="0095682A"/>
    <w:rsid w:val="009804A7"/>
    <w:rsid w:val="009930E4"/>
    <w:rsid w:val="009B2539"/>
    <w:rsid w:val="009C4931"/>
    <w:rsid w:val="009F7FCE"/>
    <w:rsid w:val="00A13D60"/>
    <w:rsid w:val="00A35C75"/>
    <w:rsid w:val="00A66E6B"/>
    <w:rsid w:val="00A8134E"/>
    <w:rsid w:val="00AD0059"/>
    <w:rsid w:val="00B23481"/>
    <w:rsid w:val="00B77440"/>
    <w:rsid w:val="00BA4E00"/>
    <w:rsid w:val="00BB0A4F"/>
    <w:rsid w:val="00C1006A"/>
    <w:rsid w:val="00C10F28"/>
    <w:rsid w:val="00C21A23"/>
    <w:rsid w:val="00C5559D"/>
    <w:rsid w:val="00D63A59"/>
    <w:rsid w:val="00E06947"/>
    <w:rsid w:val="00E42347"/>
    <w:rsid w:val="00F321B4"/>
    <w:rsid w:val="00F84258"/>
    <w:rsid w:val="45A308BC"/>
    <w:rsid w:val="55E195EC"/>
    <w:rsid w:val="61E406BF"/>
    <w:rsid w:val="682D9BA1"/>
    <w:rsid w:val="70E773B3"/>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3E04A"/>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BodyText">
    <w:name w:val="Body Text"/>
    <w:basedOn w:val="Normal"/>
    <w:link w:val="BodyTextChar"/>
    <w:semiHidden/>
    <w:unhideWhenUsed/>
    <w:rsid w:val="0017326D"/>
    <w:pPr>
      <w:spacing w:after="120"/>
    </w:pPr>
  </w:style>
  <w:style w:type="character" w:customStyle="1" w:styleId="BodyTextChar">
    <w:name w:val="Body Text Char"/>
    <w:basedOn w:val="DefaultParagraphFont"/>
    <w:link w:val="BodyText"/>
    <w:semiHidden/>
    <w:rsid w:val="0017326D"/>
  </w:style>
  <w:style w:type="character" w:styleId="UnresolvedMention">
    <w:name w:val="Unresolved Mention"/>
    <w:basedOn w:val="DefaultParagraphFont"/>
    <w:uiPriority w:val="99"/>
    <w:semiHidden/>
    <w:unhideWhenUsed/>
    <w:rsid w:val="0017326D"/>
    <w:rPr>
      <w:color w:val="605E5C"/>
      <w:shd w:val="clear" w:color="auto" w:fill="E1DFDD"/>
    </w:rPr>
  </w:style>
  <w:style w:type="character" w:styleId="CommentReference">
    <w:name w:val="annotation reference"/>
    <w:basedOn w:val="DefaultParagraphFont"/>
    <w:semiHidden/>
    <w:unhideWhenUsed/>
    <w:rsid w:val="00B77440"/>
    <w:rPr>
      <w:sz w:val="16"/>
      <w:szCs w:val="16"/>
    </w:rPr>
  </w:style>
  <w:style w:type="paragraph" w:styleId="CommentText">
    <w:name w:val="annotation text"/>
    <w:basedOn w:val="Normal"/>
    <w:link w:val="CommentTextChar"/>
    <w:semiHidden/>
    <w:unhideWhenUsed/>
    <w:rsid w:val="00B77440"/>
    <w:pPr>
      <w:spacing w:line="240" w:lineRule="auto"/>
    </w:pPr>
  </w:style>
  <w:style w:type="character" w:customStyle="1" w:styleId="CommentTextChar">
    <w:name w:val="Comment Text Char"/>
    <w:basedOn w:val="DefaultParagraphFont"/>
    <w:link w:val="CommentText"/>
    <w:semiHidden/>
    <w:rsid w:val="00B77440"/>
  </w:style>
  <w:style w:type="paragraph" w:styleId="CommentSubject">
    <w:name w:val="annotation subject"/>
    <w:basedOn w:val="CommentText"/>
    <w:next w:val="CommentText"/>
    <w:link w:val="CommentSubjectChar"/>
    <w:semiHidden/>
    <w:unhideWhenUsed/>
    <w:rsid w:val="00B77440"/>
    <w:rPr>
      <w:b/>
      <w:bCs/>
    </w:rPr>
  </w:style>
  <w:style w:type="character" w:customStyle="1" w:styleId="CommentSubjectChar">
    <w:name w:val="Comment Subject Char"/>
    <w:basedOn w:val="CommentTextChar"/>
    <w:link w:val="CommentSubject"/>
    <w:semiHidden/>
    <w:rsid w:val="00B774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062E05-A1A6-48AF-8CB2-466973E7C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2470</Words>
  <Characters>14085</Characters>
  <Application>Microsoft Office Word</Application>
  <DocSecurity>0</DocSecurity>
  <Lines>117</Lines>
  <Paragraphs>33</Paragraphs>
  <ScaleCrop>false</ScaleCrop>
  <Company>dataspect IT-Services, Neckargemuend, Germany</Company>
  <LinksUpToDate>false</LinksUpToDate>
  <CharactersWithSpaces>16522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Yap Zhe Cheng</cp:lastModifiedBy>
  <cp:revision>28</cp:revision>
  <dcterms:created xsi:type="dcterms:W3CDTF">2023-10-25T07:01:00Z</dcterms:created>
  <dcterms:modified xsi:type="dcterms:W3CDTF">2026-05-30T19:14:00Z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fb16bad3-4ba4-49ce-947e-352de4787bc3</vt:lpwstr>
  </property>
</Properties>
</file>