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Content Management in Health Care: Compiling Written Policy into Auditable Payment Rules</w:t>
      </w:r>
    </w:p>
    <w:p>
      <w:pPr>
        <w:pBdr>
          <w:bottom w:val="single" w:color="1F3864" w:sz="6" w:space="6"/>
        </w:pBdr>
        <w:spacing w:after="20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Zheng Liu  ·  Northeastern University  ·  Generative AI Research Engineer Intern Assessment  ·  August 2026</w:t>
      </w:r>
    </w:p>
    <w:p>
      <w:pPr>
        <w:spacing w:after="90" w:before="160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1.  The Concept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Healthcare content management is the lifecycle by which billing and coding policies, clinical practice guidelines, and payer–provider contracts become operational. It spans three layers: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document layer</w:t>
      </w:r>
      <w:r>
        <w:rPr>
          <w:rFonts w:ascii="Calibri" w:cs="Calibri" w:eastAsia="Calibri" w:hAnsi="Calibri"/>
          <w:sz w:val="19"/>
          <w:szCs w:val="19"/>
        </w:rPr>
        <w:t xml:space="preserve"> (narrative PDFs and HTML as published),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structured knowledge layer</w:t>
      </w:r>
      <w:r>
        <w:rPr>
          <w:rFonts w:ascii="Calibri" w:cs="Calibri" w:eastAsia="Calibri" w:hAnsi="Calibri"/>
          <w:sz w:val="19"/>
          <w:szCs w:val="19"/>
        </w:rPr>
        <w:t xml:space="preserve"> (normalized, versioned, provenance-bearing objects), and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executable rule layer</w:t>
      </w:r>
      <w:r>
        <w:rPr>
          <w:rFonts w:ascii="Calibri" w:cs="Calibri" w:eastAsia="Calibri" w:hAnsi="Calibri"/>
          <w:sz w:val="19"/>
          <w:szCs w:val="19"/>
        </w:rPr>
        <w:t xml:space="preserve"> (deterministic logic running inside a claims engine). The industry's cost is not incurred storing documents — it is incurred in the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human translation between layers</w:t>
      </w:r>
      <w:r>
        <w:rPr>
          <w:rFonts w:ascii="Calibri" w:cs="Calibri" w:eastAsia="Calibri" w:hAnsi="Calibri"/>
          <w:sz w:val="19"/>
          <w:szCs w:val="19"/>
        </w:rPr>
        <w:t xml:space="preserve">. That translation is slow, expensive, non-reproducible, and repeats every quarter.</w:t>
      </w:r>
    </w:p>
    <w:p>
      <w:pPr>
        <w:spacing w:after="90" w:before="160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2.  Trends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Change velocity now exceeds manual capacity. </w:t>
      </w:r>
      <w:r>
        <w:rPr>
          <w:rFonts w:ascii="Calibri" w:cs="Calibri" w:eastAsia="Calibri" w:hAnsi="Calibri"/>
          <w:sz w:val="19"/>
          <w:szCs w:val="19"/>
        </w:rPr>
        <w:t xml:space="preserve">Between the 2026 Q2 and Q3 releases of the Practitioner NCCI Procedure-to-Procedure file, 2,199 code pairs were added against a base of roughly 2.32 million (CMS, 2026a). Local coverage documents in the Medicare Coverage Database update weekly, and ICD-10-CM revises annually. Linear staffing against this curve is not viable.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Regulation is pushing policy toward computability. </w:t>
      </w:r>
      <w:r>
        <w:rPr>
          <w:rFonts w:ascii="Calibri" w:cs="Calibri" w:eastAsia="Calibri" w:hAnsi="Calibri"/>
          <w:sz w:val="19"/>
          <w:szCs w:val="19"/>
        </w:rPr>
        <w:t xml:space="preserve">Under CMS-0057-F, impacted payers faced operational requirements from 1 January 2026 — 72-hour expedited and 7-calendar-day standard determinations, and a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specific reason</w:t>
      </w:r>
      <w:r>
        <w:rPr>
          <w:rFonts w:ascii="Calibri" w:cs="Calibri" w:eastAsia="Calibri" w:hAnsi="Calibri"/>
          <w:sz w:val="19"/>
          <w:szCs w:val="19"/>
        </w:rPr>
        <w:t xml:space="preserve"> for every denial — with Patient Access, Provider Access, Payer-to-Payer, and Prior Authorization FHIR APIs required by 1 January 2027 (CMS, 2024). A denial reason that cannot be traced to a policy clause is becoming a compliance defect, not merely a service issue.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 technical bottleneck has moved. </w:t>
      </w:r>
      <w:r>
        <w:rPr>
          <w:rFonts w:ascii="Calibri" w:cs="Calibri" w:eastAsia="Calibri" w:hAnsi="Calibri"/>
          <w:sz w:val="19"/>
          <w:szCs w:val="19"/>
        </w:rPr>
        <w:t xml:space="preserve">Computer-interpretable guideline research long predates LLMs (Peleg, 2013); what was missing was reliable extraction from unstructured prose. Constrained decoding and schema-enforced structured output have closed enough of that gap for the remaining risk to be managed by engineering rather than by model capability.</w:t>
      </w:r>
    </w:p>
    <w:p>
      <w:pPr>
        <w:spacing w:after="90" w:before="160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3.  Proof of Concept: PolicyForge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I built a working pipeline that ingests public CMS data (2.3M NCCI edit pairs; 4,484 coverage articles), extracts rules from article narrative, validates them, and adjudicates synthetic claims. The governing design decision is that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the model proposes and a deterministic engine disposes</w:t>
      </w:r>
      <w:r>
        <w:rPr>
          <w:rFonts w:ascii="Calibri" w:cs="Calibri" w:eastAsia="Calibri" w:hAnsi="Calibri"/>
          <w:sz w:val="19"/>
          <w:szCs w:val="19"/>
        </w:rPr>
        <w:t xml:space="preserve">: the LLM participates only in rule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authoring</w:t>
      </w:r>
      <w:r>
        <w:rPr>
          <w:rFonts w:ascii="Calibri" w:cs="Calibri" w:eastAsia="Calibri" w:hAnsi="Calibri"/>
          <w:sz w:val="19"/>
          <w:szCs w:val="19"/>
        </w:rPr>
        <w:t xml:space="preserve">. Adjudication is compiled Python — reproducible, and defensible on appeal.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Evaluation uses external ground truth. </w:t>
      </w:r>
      <w:r>
        <w:rPr>
          <w:rFonts w:ascii="Calibri" w:cs="Calibri" w:eastAsia="Calibri" w:hAnsi="Calibri"/>
          <w:sz w:val="19"/>
          <w:szCs w:val="19"/>
        </w:rPr>
        <w:t xml:space="preserve">CMS publishes a machine-readable code table alongside each Billing and Coding article. Withholding that table and scoring the model's extracted code set against it yields an answer key I did not author. Let P be the emitted code set and G the official table: Precision = |P ∩ G| / |P|, Recall = |P ∩ G| / |G|, F₁ their harmonic mean.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Hallucination is measured, not estimated. </w:t>
      </w:r>
      <w:r>
        <w:rPr>
          <w:rFonts w:ascii="Calibri" w:cs="Calibri" w:eastAsia="Calibri" w:hAnsi="Calibri"/>
          <w:sz w:val="19"/>
          <w:szCs w:val="19"/>
        </w:rPr>
        <w:t xml:space="preserve">Every rule must quote the span of source text that justifies it. Because substring containment is decidable, the hallucination rate H = |{r : s(r) ⊄ D}| / |R| is computed automatically — no annotators, no judge model. This single constraint converts an amorphous risk into a continuous metric.</w:t>
      </w:r>
    </w:p>
    <w:p>
      <w:pPr>
        <w:spacing w:after="60" w:before="60"/>
      </w:pP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900"/>
        <w:gridCol w:w="900"/>
        <w:gridCol w:w="1000"/>
        <w:gridCol w:w="2150"/>
      </w:tblGrid>
      <w:tr>
        <w:tc>
          <w:tcPr>
            <w:tcW w:type="dxa" w:w="15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F₁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σ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Halluc.</w:t>
            </w:r>
          </w:p>
        </w:tc>
        <w:tc>
          <w:tcPr>
            <w:tcW w:type="dxa" w:w="21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the layer buys</w:t>
            </w:r>
          </w:p>
        </w:tc>
      </w:tr>
      <w:tr>
        <w:tc>
          <w:tcPr>
            <w:tcW w:type="dxa" w:w="1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L0  bare prompt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0.556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0.091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66.7%</w:t>
            </w:r>
          </w:p>
        </w:tc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baseline</w:t>
            </w:r>
          </w:p>
        </w:tc>
      </w:tr>
      <w:tr>
        <w:tc>
          <w:tcPr>
            <w:tcW w:type="dxa" w:w="155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L1  + strict schema</w:t>
            </w:r>
          </w:p>
        </w:tc>
        <w:tc>
          <w:tcPr>
            <w:tcW w:type="dxa" w:w="90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0.556</w:t>
            </w:r>
          </w:p>
        </w:tc>
        <w:tc>
          <w:tcPr>
            <w:tcW w:type="dxa" w:w="90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0.054</w:t>
            </w:r>
          </w:p>
        </w:tc>
        <w:tc>
          <w:tcPr>
            <w:tcW w:type="dxa" w:w="100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215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eliminates fabricated citations</w:t>
            </w:r>
          </w:p>
        </w:tc>
      </w:tr>
      <w:tr>
        <w:tc>
          <w:tcPr>
            <w:tcW w:type="dxa" w:w="1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L2  + retrieval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0.556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0.057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terminology grounding</w:t>
            </w:r>
          </w:p>
        </w:tc>
      </w:tr>
      <w:tr>
        <w:tc>
          <w:tcPr>
            <w:tcW w:type="dxa" w:w="155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L3  + validator</w:t>
            </w:r>
          </w:p>
        </w:tc>
        <w:tc>
          <w:tcPr>
            <w:tcW w:type="dxa" w:w="90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0.445</w:t>
            </w:r>
          </w:p>
        </w:tc>
        <w:tc>
          <w:tcPr>
            <w:tcW w:type="dxa" w:w="90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0.044</w:t>
            </w:r>
          </w:p>
        </w:tc>
        <w:tc>
          <w:tcPr>
            <w:tcW w:type="dxa" w:w="100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2150"/>
            <w:shd w:fill="F2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precision over recall</w:t>
            </w:r>
          </w:p>
        </w:tc>
      </w:tr>
      <w:tr>
        <w:tc>
          <w:tcPr>
            <w:tcW w:type="dxa" w:w="1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L4  + few-shot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0.667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0.054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best accuracy at equal stability</w:t>
            </w:r>
          </w:p>
        </w:tc>
      </w:tr>
    </w:tbl>
    <w:p>
      <w:pPr>
        <w:spacing w:after="100" w:before="5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Table 1. Ablation over three articles; σ from five independent runs per configuration (T = 0.7, caching disabled).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Three findings matter. First, schema-constrained output eliminated fabricated citations outright (66.7% → 0%). Second, it also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nearly halved run-to-run variance</w:t>
      </w:r>
      <w:r>
        <w:rPr>
          <w:rFonts w:ascii="Calibri" w:cs="Calibri" w:eastAsia="Calibri" w:hAnsi="Calibri"/>
          <w:sz w:val="19"/>
          <w:szCs w:val="19"/>
        </w:rPr>
        <w:t xml:space="preserve"> (σ 0.091 → 0.054) — for a payer, predictability is not a secondary virtue, since a system that answers differently on each run cannot pass audit. Third, the L3 validator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reduced</w:t>
      </w:r>
      <w:r>
        <w:rPr>
          <w:rFonts w:ascii="Calibri" w:cs="Calibri" w:eastAsia="Calibri" w:hAnsi="Calibri"/>
          <w:sz w:val="19"/>
          <w:szCs w:val="19"/>
        </w:rPr>
        <w:t xml:space="preserve"> F₁ to 0.445 by discarding low-confidence rules. That is a precision-for-recall trade, and it is the empirical argument for a human review queue rather than full automation: the rules the validator suppresses should reach a reviewer, not a bin.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From diff to decision. </w:t>
      </w:r>
      <w:r>
        <w:rPr>
          <w:rFonts w:ascii="Calibri" w:cs="Calibri" w:eastAsia="Calibri" w:hAnsi="Calibri"/>
          <w:sz w:val="19"/>
          <w:szCs w:val="19"/>
        </w:rPr>
        <w:t xml:space="preserve">The structural diff reproduces the official CMS quarterly change file exactly. Ranking the 2,199 added edits by exposure — I(e) = β(c₂) · (1 − 0.5·m(e)), discounting modifier-bypassable edits rather than excluding them — surfaces a non-obvious operational result: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molecular and genomic (PLA) codes are 24% of the added edits but 47% of the estimated impact</w:t>
      </w:r>
      <w:r>
        <w:rPr>
          <w:rFonts w:ascii="Calibri" w:cs="Calibri" w:eastAsia="Calibri" w:hAnsi="Calibri"/>
          <w:sz w:val="19"/>
          <w:szCs w:val="19"/>
        </w:rPr>
        <w:t xml:space="preserve">, roughly three times the yield per edit. Charge bands are transparent estimates, so the ranking is defensible; the ordering, not the absolute dollars, is the deliverable.</w:t>
      </w:r>
    </w:p>
    <w:p>
      <w:pPr>
        <w:spacing w:after="90" w:before="160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4.  Opportunities and Threats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Opportunities. </w:t>
      </w:r>
      <w:r>
        <w:rPr>
          <w:rFonts w:ascii="Calibri" w:cs="Calibri" w:eastAsia="Calibri" w:hAnsi="Calibri"/>
          <w:sz w:val="19"/>
          <w:szCs w:val="19"/>
        </w:rPr>
        <w:t xml:space="preserve">Four are concrete.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(i) Cycle-time compression: </w:t>
      </w:r>
      <w:r>
        <w:rPr>
          <w:rFonts w:ascii="Calibri" w:cs="Calibri" w:eastAsia="Calibri" w:hAnsi="Calibri"/>
          <w:sz w:val="19"/>
          <w:szCs w:val="19"/>
        </w:rPr>
        <w:t xml:space="preserve">drafting that currently consumes analyst weeks becomes a review task measured in hours, and the 2,199-edit quarterly delta becomes tractable without linear headcount.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(ii) Forecasting: </w:t>
      </w:r>
      <w:r>
        <w:rPr>
          <w:rFonts w:ascii="Calibri" w:cs="Calibri" w:eastAsia="Calibri" w:hAnsi="Calibri"/>
          <w:sz w:val="19"/>
          <w:szCs w:val="19"/>
        </w:rPr>
        <w:t xml:space="preserve">ranking a delta by exposure before it takes effect converts reactive maintenance into capacity planning — the PLA concentration found here is exactly the signal a staffing plan needs.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(iii) Compliance leverage: </w:t>
      </w:r>
      <w:r>
        <w:rPr>
          <w:rFonts w:ascii="Calibri" w:cs="Calibri" w:eastAsia="Calibri" w:hAnsi="Calibri"/>
          <w:sz w:val="19"/>
          <w:szCs w:val="19"/>
        </w:rPr>
        <w:t xml:space="preserve">a citation attached to every denial is the artifact CMS-0057-F's specific-reason requirement demands, and it is produced as a by-product rather than retrofitted.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(iv) Asset reuse: </w:t>
      </w:r>
      <w:r>
        <w:rPr>
          <w:rFonts w:ascii="Calibri" w:cs="Calibri" w:eastAsia="Calibri" w:hAnsi="Calibri"/>
          <w:sz w:val="19"/>
          <w:szCs w:val="19"/>
        </w:rPr>
        <w:t xml:space="preserve">the same rule corpus serves prepay editing, appeals defense, and the Da Vinci CRD/DTR/PAS documentation-requirement flows.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Threats. </w:t>
      </w:r>
      <w:r>
        <w:rPr>
          <w:rFonts w:ascii="Calibri" w:cs="Calibri" w:eastAsia="Calibri" w:hAnsi="Calibri"/>
          <w:sz w:val="19"/>
          <w:szCs w:val="19"/>
        </w:rPr>
        <w:t xml:space="preserve">A hallucinated rule is a wrongful denial with clinical and legal consequence; the mitigation must be architectural rather than prompt-level, which is why the span check sits in code and not in an instruction. AI participation in coverage determination faces active litigation and a widening body of state utilization-management legislation, so the defensible posture is advisory-only automation with a documented human decision-maker. CPT descriptors are AMA-copyrighted, constraining what any derived corpus may store or redistribute — codes may be used as identifiers, descriptor text may not. Finally, model drift and policy-version mismatch are silent failures: a rule that was correct against the Q2 source is wrong against Q3 and will not announce it, which makes version-pinned lineage a first-class requirement rather than an afterthought.</w:t>
      </w:r>
    </w:p>
    <w:p>
      <w:pPr>
        <w:spacing w:after="90" w:before="160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5.  Recommended Actions for Cotiviti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Phase A — Policy Ops Copilot (0–6 months, low risk). </w:t>
      </w:r>
      <w:r>
        <w:rPr>
          <w:rFonts w:ascii="Calibri" w:cs="Calibri" w:eastAsia="Calibri" w:hAnsi="Calibri"/>
          <w:sz w:val="19"/>
          <w:szCs w:val="19"/>
        </w:rPr>
        <w:t xml:space="preserve">Deploy LLM-assisted rule drafting behind a mandatory review queue, scoped to the quarterly NCCI and LCD maintenance cycle. Regulatory exposure is structurally near zero, because no generated artifact reaches adjudication without a recorded human approval. Instrument four metrics from day one: policy-to-production lead time, reviewer hours per quarterly cycle, rule-draft acceptance rate, and — the leading indicator — the share of drafts the validator suppresses, which measures whether the model or the threshold needs attention.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Phase B — Computable Policy Registry (6–18 months, defensible asset). </w:t>
      </w:r>
      <w:r>
        <w:rPr>
          <w:rFonts w:ascii="Calibri" w:cs="Calibri" w:eastAsia="Calibri" w:hAnsi="Calibri"/>
          <w:sz w:val="19"/>
          <w:szCs w:val="19"/>
        </w:rPr>
        <w:t xml:space="preserve">Promote the artifacts Phase A generates — normalized policy, versioned rules, and citation lineage — into a platform asset feeding the Edifecs interoperability layer acquired in 2025 and the prior-authorization APIs due January 2027. Competitors can license the same public CMS sources and the same models; what they cannot acquire is a multi-year record of which rule derived from which clause, which reviewer approved it, and how it behaved against real claims. That lineage is the moat, and it accrues only as a residue of operating Phase A.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 sequenced. </w:t>
      </w:r>
      <w:r>
        <w:rPr>
          <w:rFonts w:ascii="Calibri" w:cs="Calibri" w:eastAsia="Calibri" w:hAnsi="Calibri"/>
          <w:sz w:val="19"/>
          <w:szCs w:val="19"/>
        </w:rPr>
        <w:t xml:space="preserve">Phase A is justified on internal efficiency alone; Phase B is justified only if the underlying data exists. Attempting B first buys the risk without the corpus.</w:t>
      </w:r>
    </w:p>
    <w:p>
      <w:pPr>
        <w:spacing w:after="90" w:before="160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6.  Limitations</w:t>
      </w:r>
    </w:p>
    <w:p>
      <w:pPr>
        <w:spacing w:after="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The evaluation covers three articles and roughly thirty rules — directional, not population-level. The official code table may include codes inherited from a parent LCD and absent from the narrative, penalizing recall for reasons unrelated to model quality. Charge bands are order-of-magnitude estimates, not fee-schedule data. No cross-model comparison was run. These bound the claims above; they do not affect the architectural argument, which rests on where the LLM sits rather than on how well it scores.</w:t>
      </w:r>
    </w:p>
    <w:p>
      <w:r>
        <w:br w:type="page"/>
      </w:r>
    </w:p>
    <w:p>
      <w:pPr>
        <w:spacing w:after="90" w:before="160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References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Centers for Medicare &amp; Medicaid Services. (2024). Interoperability and prior authorization final rule (CMS-0057-F). https://www.cms.gov/files/document/cms-0057-f.pdf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Centers for Medicare &amp; Medicaid Services. (2026a). Medicare NCCI procedure-to-procedure (PTP) edits, v321r0 and v322r0. https://www.cms.gov/medicare/coding-billing/national-correct-coding-initiative-ncci-edits/medicare-ncci-procedure-procedure-ptp-edits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Centers for Medicare &amp; Medicaid Services. (2026b). Medicare coverage database downloads: Current article data. https://www.cms.gov/medicare-coverage-database/downloads/downloads.aspx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Centers for Medicare &amp; Medicaid Services. (2026c). National correct coding initiative policy manual for Medicare services. https://www.cms.gov/medicare/coding-billing/national-correct-coding-initiative-ncci-edits/medicare-ncci-policy-manual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Cotiviti. (2026). Cotiviti recognized by Everest Group as the highest designated leader for market impact in the 2026 pre-payment integrity solutions PEAK Matrix assessment. https://www.cotiviti.com/press-release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HL7 International. (2024). Da Vinci coverage requirements discovery (CRD), documentation templates and rules (DTR), and prior authorization support (PAS) implementation guides. http://hl7.org/fhir/us/davinci-crd/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Liu, Z. (2026). PolicyForge: Compiling written healthcare payment policy into auditable executable rules [Computer software]. https://github.com/ZhengLiu112/policyforge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National Institute of Standards and Technology. (2023). Artificial intelligence risk management framework (AI RMF 1.0) (NIST AI 100-1). https://doi.org/10.6028/NIST.AI.100-1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OpenAI. (2024). Introducing structured outputs in the API. https://openai.com/index/introducing-structured-outputs-in-the-api/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Peleg, M. (2013). Computer-interpretable clinical guidelines: A methodological review. Journal of Biomedical Informatics, 46(4), 744–763. https://doi.org/10.1016/j.jbi.2013.06.009</w:t>
      </w:r>
    </w:p>
    <w:p>
      <w:pPr>
        <w:spacing w:after="110" w:line="240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Walonoski, J., Kramer, M., Nichols, J., Quina, A., Moesel, C., Hall, D., Duffett, C., Dube, K., Gallagher, T., &amp; McLachlan, S. (2018). Synthea: An approach, method, and software mechanism for generating synthetic patients and the synthetic electronic health care record. Journal of the American Medical Informatics Association, 25(3), 230–238. https://doi.org/10.1093/jamia/ocx079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2026-08-15T17:56:18.956Z</dcterms:created>
  <dcterms:modified xsi:type="dcterms:W3CDTF">2026-08-15T17:56:18.956Z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