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3F80D" w14:textId="4D1AC71D" w:rsidR="00AC6AA5" w:rsidRDefault="00F01252" w:rsidP="00F01252">
      <w:pPr>
        <w:pStyle w:val="Heading2"/>
      </w:pPr>
      <w:r>
        <w:t xml:space="preserve">Piecewise </w:t>
      </w:r>
      <w:r w:rsidR="00200818">
        <w:t>C</w:t>
      </w:r>
      <w:r>
        <w:t xml:space="preserve">onstant </w:t>
      </w:r>
      <w:r w:rsidR="005F7924">
        <w:rPr>
          <w:rFonts w:hint="eastAsia"/>
        </w:rPr>
        <w:t xml:space="preserve">baseline </w:t>
      </w:r>
      <w:r w:rsidR="00200818">
        <w:t>H</w:t>
      </w:r>
      <w:r>
        <w:t xml:space="preserve">azard </w:t>
      </w:r>
      <w:r w:rsidR="00200818">
        <w:t>M</w:t>
      </w:r>
      <w:r>
        <w:t>odel</w:t>
      </w:r>
    </w:p>
    <w:p w14:paraId="309327B0" w14:textId="2500FE82" w:rsidR="000E208B" w:rsidRDefault="000E208B" w:rsidP="000E208B">
      <w:r>
        <w:t xml:space="preserve">In a piecewise constant hazard model, the time axis is divided into several intervals, and </w:t>
      </w:r>
      <w:r w:rsidR="0076410F">
        <w:t>the hazard rate is assumed to be constant within each interval but can vary between them. The model is flexible and often used when the hazard rate is not constant over time.</w:t>
      </w:r>
    </w:p>
    <w:p w14:paraId="0A4454AF" w14:textId="45063A62" w:rsidR="0076410F" w:rsidRDefault="00C11770" w:rsidP="00C11770">
      <w:pPr>
        <w:pStyle w:val="Heading3"/>
      </w:pPr>
      <w:r>
        <w:t xml:space="preserve">Notation and </w:t>
      </w:r>
      <w:r w:rsidR="00200818">
        <w:t>S</w:t>
      </w:r>
      <w:r>
        <w:t>etup</w:t>
      </w:r>
    </w:p>
    <w:p w14:paraId="28EF5BF8" w14:textId="65B59A27" w:rsidR="00C11770" w:rsidRDefault="00C11770" w:rsidP="00C11770">
      <w:r>
        <w:t>Suppose:</w:t>
      </w:r>
    </w:p>
    <w:p w14:paraId="1017DE06" w14:textId="68A1DCEC" w:rsidR="00C11770" w:rsidRDefault="00000000" w:rsidP="00C11770">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11770">
        <w:t xml:space="preserve"> is the observed survival time for the </w:t>
      </w:r>
      <m:oMath>
        <m:r>
          <w:rPr>
            <w:rFonts w:ascii="Cambria Math" w:hAnsi="Cambria Math"/>
          </w:rPr>
          <m:t>i</m:t>
        </m:r>
      </m:oMath>
      <w:r w:rsidR="00D837FF">
        <w:t>-th individual.</w:t>
      </w:r>
    </w:p>
    <w:p w14:paraId="70F051F0" w14:textId="6B38D6C5" w:rsidR="00D837FF" w:rsidRDefault="00000000" w:rsidP="00C11770">
      <w:pPr>
        <w:pStyle w:val="ListParagraph"/>
        <w:numPr>
          <w:ilvl w:val="0"/>
          <w:numId w:val="1"/>
        </w:numPr>
      </w:pP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837FF">
        <w:t xml:space="preserve"> is the event indicator (1 if the event occurred, 0 if censored).</w:t>
      </w:r>
    </w:p>
    <w:p w14:paraId="1674CB49" w14:textId="7E6B0906" w:rsidR="00D837FF" w:rsidRDefault="00D837FF" w:rsidP="00C11770">
      <w:pPr>
        <w:pStyle w:val="ListParagraph"/>
        <w:numPr>
          <w:ilvl w:val="0"/>
          <w:numId w:val="1"/>
        </w:numPr>
      </w:pPr>
      <w:r>
        <w:t xml:space="preserve">The total observation period is divided into </w:t>
      </w:r>
      <m:oMath>
        <m:r>
          <w:rPr>
            <w:rFonts w:ascii="Cambria Math" w:hAnsi="Cambria Math"/>
          </w:rPr>
          <m:t>J</m:t>
        </m:r>
      </m:oMath>
      <w:r>
        <w:t xml:space="preserve"> intervals with boundaries</w:t>
      </w:r>
      <w:r w:rsidR="0009434F">
        <w:t xml:space="preserve"> </w:t>
      </w:r>
      <m:oMath>
        <m:r>
          <w:rPr>
            <w:rFonts w:ascii="Cambria Math" w:hAnsi="Cambria Math"/>
          </w:rPr>
          <m:t>0=</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τ</m:t>
            </m:r>
          </m:e>
          <m:sub>
            <m:r>
              <w:rPr>
                <w:rFonts w:ascii="Cambria Math" w:hAnsi="Cambria Math"/>
              </w:rPr>
              <m:t>J</m:t>
            </m:r>
          </m:sub>
        </m:sSub>
      </m:oMath>
      <w:r w:rsidR="00AC6023">
        <w:t xml:space="preserve"> </w:t>
      </w:r>
    </w:p>
    <w:p w14:paraId="6016415E" w14:textId="6C39FBAA" w:rsidR="00D65421" w:rsidRDefault="00D65421" w:rsidP="00C11770">
      <w:pPr>
        <w:pStyle w:val="ListParagraph"/>
        <w:numPr>
          <w:ilvl w:val="0"/>
          <w:numId w:val="1"/>
        </w:numPr>
      </w:pPr>
      <w:r>
        <w:t xml:space="preserve">The hazard rate is constant within each interval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oMath>
      <w:r>
        <w:t xml:space="preserve"> and is denoted as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for </w:t>
      </w:r>
      <m:oMath>
        <m:r>
          <w:rPr>
            <w:rFonts w:ascii="Cambria Math" w:hAnsi="Cambria Math"/>
          </w:rPr>
          <m:t>j=1,…,J.</m:t>
        </m:r>
      </m:oMath>
    </w:p>
    <w:p w14:paraId="5F09C654" w14:textId="7440A7C6" w:rsidR="00EA49E5" w:rsidRDefault="00EA49E5" w:rsidP="00EA49E5">
      <w:r>
        <w:t xml:space="preserve">The survival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of an individual will fall into one of the intervals. Let</w:t>
      </w:r>
      <w:r w:rsidR="002A32E8">
        <w:t xml:space="preserve">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2A32E8">
        <w:t xml:space="preserve"> be the index of the interval in which the event occurs for indiv</w:t>
      </w:r>
      <w:proofErr w:type="spellStart"/>
      <w:r w:rsidR="00073257">
        <w:t>idual</w:t>
      </w:r>
      <w:proofErr w:type="spellEnd"/>
      <w:r w:rsidR="00073257">
        <w:t xml:space="preserve"> </w:t>
      </w:r>
      <m:oMath>
        <m:r>
          <w:rPr>
            <w:rFonts w:ascii="Cambria Math" w:hAnsi="Cambria Math"/>
          </w:rPr>
          <m:t>i</m:t>
        </m:r>
      </m:oMath>
      <w:r w:rsidR="00073257">
        <w:t xml:space="preserve"> such that </w:t>
      </w:r>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oMath>
      <w:r w:rsidR="00FA280C">
        <w:t>.</w:t>
      </w:r>
    </w:p>
    <w:p w14:paraId="78E7E31F" w14:textId="0413AE3E" w:rsidR="00200818" w:rsidRDefault="00200818" w:rsidP="00200818">
      <w:pPr>
        <w:pStyle w:val="Heading4"/>
      </w:pPr>
      <w:r>
        <w:t>Likelihood for the Piecewise Constant Hazard Model</w:t>
      </w:r>
    </w:p>
    <w:p w14:paraId="50365055" w14:textId="38498E61" w:rsidR="008A65E2" w:rsidRDefault="00FA280C" w:rsidP="00EA49E5">
      <w:r>
        <w:t xml:space="preserve">The likelihood function for the piecewise constant hazard model is constructed based on the hazard rates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for each interval. The contribution to the likelihood depends on whether the observation is an event or is censored:</w:t>
      </w:r>
    </w:p>
    <w:p w14:paraId="0B693BFA" w14:textId="411B38F9" w:rsidR="008A65E2" w:rsidRDefault="008A65E2" w:rsidP="00EA49E5">
      <w:r>
        <w:t xml:space="preserve">For an individual </w:t>
      </w:r>
      <m:oMath>
        <m:r>
          <w:rPr>
            <w:rFonts w:ascii="Cambria Math" w:hAnsi="Cambria Math"/>
          </w:rPr>
          <m:t>i</m:t>
        </m:r>
      </m:oMath>
      <w:r w:rsidR="00EA6A5B">
        <w:t xml:space="preserve">, if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A6A5B">
        <w:t xml:space="preserve"> falls into interval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EA6A5B">
        <w:t xml:space="preserve">, the contribution to the likelihood involves the constant hazard rates up to the interval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EA6A5B">
        <w:t xml:space="preserve"> and accounts for the time spent in each interval:</w:t>
      </w:r>
    </w:p>
    <w:p w14:paraId="6ABDAC61" w14:textId="6C3ACA45" w:rsidR="00EA6A5B" w:rsidRPr="007E1A34" w:rsidRDefault="00000000" w:rsidP="00EA49E5">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-1</m:t>
                  </m:r>
                </m:sup>
                <m:e>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r>
                        <w:rPr>
                          <w:rFonts w:ascii="Cambria Math" w:hAnsi="Cambria Math"/>
                        </w:rPr>
                        <m:t>))</m:t>
                      </m:r>
                    </m:e>
                  </m:func>
                </m:e>
              </m:nary>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-1</m:t>
                      </m:r>
                    </m:sub>
                  </m:sSub>
                  <m:r>
                    <w:rPr>
                      <w:rFonts w:ascii="Cambria Math" w:hAnsi="Cambria Math"/>
                    </w:rPr>
                    <m:t>)</m:t>
                  </m:r>
                </m:e>
              </m:d>
              <m:sSubSup>
                <m:sSubSupPr>
                  <m:ctrlPr>
                    <w:rPr>
                      <w:rFonts w:ascii="Cambria Math" w:hAnsi="Cambria Math"/>
                      <w:i/>
                    </w:rPr>
                  </m:ctrlPr>
                </m:sSubSupPr>
                <m:e>
                  <m:r>
                    <w:rPr>
                      <w:rFonts w:ascii="Cambria Math" w:hAnsi="Cambria Math"/>
                    </w:rPr>
                    <m:t>λ</m:t>
                  </m:r>
                </m:e>
                <m:sub>
                  <m:sSub>
                    <m:sSubPr>
                      <m:ctrlPr>
                        <w:rPr>
                          <w:rFonts w:ascii="Cambria Math" w:hAnsi="Cambria Math"/>
                          <w:i/>
                        </w:rPr>
                      </m:ctrlPr>
                    </m:sSubPr>
                    <m:e>
                      <m:r>
                        <w:rPr>
                          <w:rFonts w:ascii="Cambria Math" w:hAnsi="Cambria Math"/>
                        </w:rPr>
                        <m:t>I</m:t>
                      </m:r>
                    </m:e>
                    <m:sub>
                      <m:r>
                        <w:rPr>
                          <w:rFonts w:ascii="Cambria Math" w:hAnsi="Cambria Math"/>
                        </w:rPr>
                        <m:t>i</m:t>
                      </m:r>
                    </m:sub>
                  </m:sSub>
                </m:sub>
                <m:sup>
                  <m:sSub>
                    <m:sSubPr>
                      <m:ctrlPr>
                        <w:rPr>
                          <w:rFonts w:ascii="Cambria Math" w:hAnsi="Cambria Math"/>
                          <w:i/>
                        </w:rPr>
                      </m:ctrlPr>
                    </m:sSubPr>
                    <m:e>
                      <m:r>
                        <w:rPr>
                          <w:rFonts w:ascii="Cambria Math" w:hAnsi="Cambria Math"/>
                        </w:rPr>
                        <m:t>δ</m:t>
                      </m:r>
                    </m:e>
                    <m:sub>
                      <m:r>
                        <w:rPr>
                          <w:rFonts w:ascii="Cambria Math" w:hAnsi="Cambria Math"/>
                        </w:rPr>
                        <m:t>i</m:t>
                      </m:r>
                    </m:sub>
                  </m:sSub>
                </m:sup>
              </m:sSubSup>
            </m:e>
          </m:func>
        </m:oMath>
      </m:oMathPara>
    </w:p>
    <w:p w14:paraId="6E4E298C" w14:textId="38CF62AD" w:rsidR="007E1A34" w:rsidRDefault="00200818" w:rsidP="00EA49E5">
      <w:proofErr w:type="gramStart"/>
      <w:r>
        <w:t>where</w:t>
      </w:r>
      <w:proofErr w:type="gramEnd"/>
    </w:p>
    <w:p w14:paraId="33D347A4" w14:textId="556D0E5E" w:rsidR="007E1A34" w:rsidRDefault="007E1A34" w:rsidP="007E1A34">
      <w:pPr>
        <w:pStyle w:val="ListParagraph"/>
        <w:numPr>
          <w:ilvl w:val="0"/>
          <w:numId w:val="2"/>
        </w:numPr>
      </w:pPr>
      <w:r>
        <w:t xml:space="preserve">The product </w:t>
      </w:r>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-1</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d>
              </m:e>
            </m:func>
          </m:e>
        </m:nary>
      </m:oMath>
      <w:r w:rsidR="00664318">
        <w:t xml:space="preserve"> represents that survival probability up to the start of the interval </w:t>
      </w:r>
      <m:oMath>
        <m:sSub>
          <m:sSubPr>
            <m:ctrlPr>
              <w:rPr>
                <w:rFonts w:ascii="Cambria Math" w:hAnsi="Cambria Math"/>
                <w:i/>
              </w:rPr>
            </m:ctrlPr>
          </m:sSubPr>
          <m:e>
            <m:r>
              <w:rPr>
                <w:rFonts w:ascii="Cambria Math" w:hAnsi="Cambria Math"/>
              </w:rPr>
              <m:t>I</m:t>
            </m:r>
          </m:e>
          <m:sub>
            <m:r>
              <w:rPr>
                <w:rFonts w:ascii="Cambria Math" w:hAnsi="Cambria Math"/>
              </w:rPr>
              <m:t>i</m:t>
            </m:r>
          </m:sub>
        </m:sSub>
      </m:oMath>
    </w:p>
    <w:p w14:paraId="0A18AFB3" w14:textId="092323F1" w:rsidR="00664318" w:rsidRDefault="00664318" w:rsidP="007E1A34">
      <w:pPr>
        <w:pStyle w:val="ListParagraph"/>
        <w:numPr>
          <w:ilvl w:val="0"/>
          <w:numId w:val="2"/>
        </w:numPr>
      </w:pPr>
      <w:r>
        <w:t xml:space="preserve">The term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-1</m:t>
                    </m:r>
                  </m:sub>
                </m:sSub>
                <m:r>
                  <w:rPr>
                    <w:rFonts w:ascii="Cambria Math" w:hAnsi="Cambria Math"/>
                  </w:rPr>
                  <m:t>)</m:t>
                </m:r>
              </m:e>
            </m:d>
          </m:e>
        </m:func>
      </m:oMath>
      <w:r w:rsidR="00DE6C9D">
        <w:t xml:space="preserve"> is the probability of surviving until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DE6C9D">
        <w:t xml:space="preserve"> within the interval </w:t>
      </w:r>
      <m:oMath>
        <m:sSub>
          <m:sSubPr>
            <m:ctrlPr>
              <w:rPr>
                <w:rFonts w:ascii="Cambria Math" w:hAnsi="Cambria Math"/>
                <w:i/>
              </w:rPr>
            </m:ctrlPr>
          </m:sSubPr>
          <m:e>
            <m:r>
              <w:rPr>
                <w:rFonts w:ascii="Cambria Math" w:hAnsi="Cambria Math"/>
              </w:rPr>
              <m:t>I</m:t>
            </m:r>
          </m:e>
          <m:sub>
            <m:r>
              <w:rPr>
                <w:rFonts w:ascii="Cambria Math" w:hAnsi="Cambria Math"/>
              </w:rPr>
              <m:t>i</m:t>
            </m:r>
          </m:sub>
        </m:sSub>
      </m:oMath>
    </w:p>
    <w:p w14:paraId="348F6257" w14:textId="77777777" w:rsidR="00C95A5C" w:rsidRDefault="005304D5" w:rsidP="00C95A5C">
      <w:pPr>
        <w:pStyle w:val="ListParagraph"/>
        <w:numPr>
          <w:ilvl w:val="0"/>
          <w:numId w:val="2"/>
        </w:numPr>
      </w:pPr>
      <w:r>
        <w:t xml:space="preserve">The factor </w:t>
      </w:r>
      <m:oMath>
        <m:sSubSup>
          <m:sSubSupPr>
            <m:ctrlPr>
              <w:rPr>
                <w:rFonts w:ascii="Cambria Math" w:hAnsi="Cambria Math"/>
                <w:i/>
              </w:rPr>
            </m:ctrlPr>
          </m:sSubSupPr>
          <m:e>
            <m:r>
              <w:rPr>
                <w:rFonts w:ascii="Cambria Math" w:hAnsi="Cambria Math"/>
              </w:rPr>
              <m:t>λ</m:t>
            </m:r>
          </m:e>
          <m:sub>
            <m:sSub>
              <m:sSubPr>
                <m:ctrlPr>
                  <w:rPr>
                    <w:rFonts w:ascii="Cambria Math" w:hAnsi="Cambria Math"/>
                    <w:i/>
                  </w:rPr>
                </m:ctrlPr>
              </m:sSubPr>
              <m:e>
                <m:r>
                  <w:rPr>
                    <w:rFonts w:ascii="Cambria Math" w:hAnsi="Cambria Math"/>
                  </w:rPr>
                  <m:t>I</m:t>
                </m:r>
              </m:e>
              <m:sub>
                <m:r>
                  <w:rPr>
                    <w:rFonts w:ascii="Cambria Math" w:hAnsi="Cambria Math"/>
                  </w:rPr>
                  <m:t>i</m:t>
                </m:r>
              </m:sub>
            </m:sSub>
          </m:sub>
          <m:sup>
            <m:sSub>
              <m:sSubPr>
                <m:ctrlPr>
                  <w:rPr>
                    <w:rFonts w:ascii="Cambria Math" w:hAnsi="Cambria Math"/>
                    <w:i/>
                  </w:rPr>
                </m:ctrlPr>
              </m:sSubPr>
              <m:e>
                <m:r>
                  <w:rPr>
                    <w:rFonts w:ascii="Cambria Math" w:hAnsi="Cambria Math"/>
                  </w:rPr>
                  <m:t>δ</m:t>
                </m:r>
              </m:e>
              <m:sub>
                <m:r>
                  <w:rPr>
                    <w:rFonts w:ascii="Cambria Math" w:hAnsi="Cambria Math"/>
                  </w:rPr>
                  <m:t>i</m:t>
                </m:r>
              </m:sub>
            </m:sSub>
          </m:sup>
        </m:sSubSup>
      </m:oMath>
      <w:r>
        <w:t xml:space="preserve"> accounts for the probability of an event occurring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976AA">
        <w:t xml:space="preserve"> if it is not censored </w:t>
      </w:r>
    </w:p>
    <w:p w14:paraId="69A44B0C" w14:textId="380BB79A" w:rsidR="00FA280C" w:rsidRDefault="00C95A5C" w:rsidP="00C95A5C">
      <w:pPr>
        <w:pStyle w:val="Heading4"/>
      </w:pPr>
      <w:r>
        <w:lastRenderedPageBreak/>
        <w:t>Complete Likelihood</w:t>
      </w:r>
    </w:p>
    <w:p w14:paraId="0166F0A2" w14:textId="646FF51B" w:rsidR="00C95A5C" w:rsidRDefault="00C95A5C" w:rsidP="00C95A5C">
      <w:r>
        <w:t xml:space="preserve">Assuming </w:t>
      </w:r>
      <m:oMath>
        <m:r>
          <w:rPr>
            <w:rFonts w:ascii="Cambria Math" w:hAnsi="Cambria Math"/>
          </w:rPr>
          <m:t>n</m:t>
        </m:r>
      </m:oMath>
      <w:r w:rsidR="00794D73">
        <w:t xml:space="preserve"> individuals, the total likelihood function is:</w:t>
      </w:r>
    </w:p>
    <w:p w14:paraId="4595ABDC" w14:textId="33A4DDDA" w:rsidR="00794D73" w:rsidRPr="00C95A5C" w:rsidRDefault="00794D73" w:rsidP="00C95A5C">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-1</m:t>
                          </m:r>
                        </m:sup>
                        <m:e>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r>
                                <w:rPr>
                                  <w:rFonts w:ascii="Cambria Math" w:hAnsi="Cambria Math"/>
                                </w:rPr>
                                <m:t>))</m:t>
                              </m:r>
                            </m:e>
                          </m:func>
                        </m:e>
                      </m:nary>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-1</m:t>
                              </m:r>
                            </m:sub>
                          </m:sSub>
                          <m:r>
                            <w:rPr>
                              <w:rFonts w:ascii="Cambria Math" w:hAnsi="Cambria Math"/>
                            </w:rPr>
                            <m:t>)</m:t>
                          </m:r>
                        </m:e>
                      </m:d>
                      <m:sSubSup>
                        <m:sSubSupPr>
                          <m:ctrlPr>
                            <w:rPr>
                              <w:rFonts w:ascii="Cambria Math" w:hAnsi="Cambria Math"/>
                              <w:i/>
                            </w:rPr>
                          </m:ctrlPr>
                        </m:sSubSupPr>
                        <m:e>
                          <m:r>
                            <w:rPr>
                              <w:rFonts w:ascii="Cambria Math" w:hAnsi="Cambria Math"/>
                            </w:rPr>
                            <m:t>λ</m:t>
                          </m:r>
                        </m:e>
                        <m:sub>
                          <m:sSub>
                            <m:sSubPr>
                              <m:ctrlPr>
                                <w:rPr>
                                  <w:rFonts w:ascii="Cambria Math" w:hAnsi="Cambria Math"/>
                                  <w:i/>
                                </w:rPr>
                              </m:ctrlPr>
                            </m:sSubPr>
                            <m:e>
                              <m:r>
                                <w:rPr>
                                  <w:rFonts w:ascii="Cambria Math" w:hAnsi="Cambria Math"/>
                                </w:rPr>
                                <m:t>I</m:t>
                              </m:r>
                            </m:e>
                            <m:sub>
                              <m:r>
                                <w:rPr>
                                  <w:rFonts w:ascii="Cambria Math" w:hAnsi="Cambria Math"/>
                                </w:rPr>
                                <m:t>i</m:t>
                              </m:r>
                            </m:sub>
                          </m:sSub>
                        </m:sub>
                        <m:sup>
                          <m:sSub>
                            <m:sSubPr>
                              <m:ctrlPr>
                                <w:rPr>
                                  <w:rFonts w:ascii="Cambria Math" w:hAnsi="Cambria Math"/>
                                  <w:i/>
                                </w:rPr>
                              </m:ctrlPr>
                            </m:sSubPr>
                            <m:e>
                              <m:r>
                                <w:rPr>
                                  <w:rFonts w:ascii="Cambria Math" w:hAnsi="Cambria Math"/>
                                </w:rPr>
                                <m:t>δ</m:t>
                              </m:r>
                            </m:e>
                            <m:sub>
                              <m:r>
                                <w:rPr>
                                  <w:rFonts w:ascii="Cambria Math" w:hAnsi="Cambria Math"/>
                                </w:rPr>
                                <m:t>i</m:t>
                              </m:r>
                            </m:sub>
                          </m:sSub>
                        </m:sup>
                      </m:sSubSup>
                    </m:e>
                  </m:func>
                </m:e>
              </m:d>
            </m:e>
          </m:nary>
        </m:oMath>
      </m:oMathPara>
    </w:p>
    <w:p w14:paraId="6EFDF2D0" w14:textId="398E0643" w:rsidR="002A32E8" w:rsidRDefault="001128E1" w:rsidP="00EA49E5">
      <w:r>
        <w:t>The log-likelihood is given by:</w:t>
      </w:r>
    </w:p>
    <w:p w14:paraId="5C2A8C05" w14:textId="00AB4703" w:rsidR="001128E1" w:rsidRDefault="00000000" w:rsidP="00EA49E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-1</m:t>
                      </m:r>
                    </m:sup>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e>
                  </m:func>
                </m:e>
              </m:d>
            </m:e>
          </m:nary>
        </m:oMath>
      </m:oMathPara>
    </w:p>
    <w:p w14:paraId="65E0FBC1" w14:textId="1C6DB062" w:rsidR="001128E1" w:rsidRDefault="005F7924" w:rsidP="008D65E2">
      <w:pPr>
        <w:pStyle w:val="Heading2"/>
      </w:pPr>
      <w:r>
        <w:rPr>
          <w:rFonts w:hint="eastAsia"/>
        </w:rPr>
        <w:t xml:space="preserve">Piecewise constant hazard with </w:t>
      </w:r>
      <w:r w:rsidR="008D65E2">
        <w:rPr>
          <w:rFonts w:hint="eastAsia"/>
        </w:rPr>
        <w:t>fixed covariates</w:t>
      </w:r>
    </w:p>
    <w:p w14:paraId="468B1140" w14:textId="77777777" w:rsidR="008D65E2" w:rsidRPr="008D65E2" w:rsidRDefault="008D65E2" w:rsidP="008D65E2">
      <w:pPr>
        <w:rPr>
          <w:rFonts w:hint="eastAsia"/>
        </w:rPr>
      </w:pPr>
    </w:p>
    <w:sectPr w:rsidR="008D65E2" w:rsidRPr="008D6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5183B"/>
    <w:multiLevelType w:val="hybridMultilevel"/>
    <w:tmpl w:val="A8D0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A6317"/>
    <w:multiLevelType w:val="hybridMultilevel"/>
    <w:tmpl w:val="85E290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670671828">
    <w:abstractNumId w:val="0"/>
  </w:num>
  <w:num w:numId="2" w16cid:durableId="414792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16"/>
    <w:rsid w:val="000149C6"/>
    <w:rsid w:val="00073257"/>
    <w:rsid w:val="0009434F"/>
    <w:rsid w:val="000976AA"/>
    <w:rsid w:val="000D1F29"/>
    <w:rsid w:val="000E208B"/>
    <w:rsid w:val="001128E1"/>
    <w:rsid w:val="00200818"/>
    <w:rsid w:val="002A32E8"/>
    <w:rsid w:val="00435E78"/>
    <w:rsid w:val="00447C45"/>
    <w:rsid w:val="005304D5"/>
    <w:rsid w:val="005A10EE"/>
    <w:rsid w:val="005F7924"/>
    <w:rsid w:val="00643B05"/>
    <w:rsid w:val="006523ED"/>
    <w:rsid w:val="00664318"/>
    <w:rsid w:val="006933DB"/>
    <w:rsid w:val="00714AFD"/>
    <w:rsid w:val="0076410F"/>
    <w:rsid w:val="00794D73"/>
    <w:rsid w:val="007E1A34"/>
    <w:rsid w:val="008A65E2"/>
    <w:rsid w:val="008D65E2"/>
    <w:rsid w:val="00A735F4"/>
    <w:rsid w:val="00A9600D"/>
    <w:rsid w:val="00AC6023"/>
    <w:rsid w:val="00AC6AA5"/>
    <w:rsid w:val="00AF6F16"/>
    <w:rsid w:val="00B02191"/>
    <w:rsid w:val="00C11770"/>
    <w:rsid w:val="00C95A5C"/>
    <w:rsid w:val="00CA4EDC"/>
    <w:rsid w:val="00D30562"/>
    <w:rsid w:val="00D65421"/>
    <w:rsid w:val="00D837FF"/>
    <w:rsid w:val="00DC5B9F"/>
    <w:rsid w:val="00DE6C9D"/>
    <w:rsid w:val="00EA49E5"/>
    <w:rsid w:val="00EA6A5B"/>
    <w:rsid w:val="00ED6898"/>
    <w:rsid w:val="00F01252"/>
    <w:rsid w:val="00FA280C"/>
    <w:rsid w:val="00FB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3151"/>
  <w15:chartTrackingRefBased/>
  <w15:docId w15:val="{B8BB73FA-F85A-4465-BFE2-A367B395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F6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F6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F16"/>
    <w:rPr>
      <w:rFonts w:eastAsiaTheme="majorEastAsia" w:cstheme="majorBidi"/>
      <w:color w:val="272727" w:themeColor="text1" w:themeTint="D8"/>
    </w:rPr>
  </w:style>
  <w:style w:type="paragraph" w:styleId="Title">
    <w:name w:val="Title"/>
    <w:basedOn w:val="Normal"/>
    <w:next w:val="Normal"/>
    <w:link w:val="TitleChar"/>
    <w:uiPriority w:val="10"/>
    <w:qFormat/>
    <w:rsid w:val="00AF6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F16"/>
    <w:pPr>
      <w:spacing w:before="160"/>
      <w:jc w:val="center"/>
    </w:pPr>
    <w:rPr>
      <w:i/>
      <w:iCs/>
      <w:color w:val="404040" w:themeColor="text1" w:themeTint="BF"/>
    </w:rPr>
  </w:style>
  <w:style w:type="character" w:customStyle="1" w:styleId="QuoteChar">
    <w:name w:val="Quote Char"/>
    <w:basedOn w:val="DefaultParagraphFont"/>
    <w:link w:val="Quote"/>
    <w:uiPriority w:val="29"/>
    <w:rsid w:val="00AF6F16"/>
    <w:rPr>
      <w:i/>
      <w:iCs/>
      <w:color w:val="404040" w:themeColor="text1" w:themeTint="BF"/>
    </w:rPr>
  </w:style>
  <w:style w:type="paragraph" w:styleId="ListParagraph">
    <w:name w:val="List Paragraph"/>
    <w:basedOn w:val="Normal"/>
    <w:uiPriority w:val="34"/>
    <w:qFormat/>
    <w:rsid w:val="00AF6F16"/>
    <w:pPr>
      <w:ind w:left="720"/>
      <w:contextualSpacing/>
    </w:pPr>
  </w:style>
  <w:style w:type="character" w:styleId="IntenseEmphasis">
    <w:name w:val="Intense Emphasis"/>
    <w:basedOn w:val="DefaultParagraphFont"/>
    <w:uiPriority w:val="21"/>
    <w:qFormat/>
    <w:rsid w:val="00AF6F16"/>
    <w:rPr>
      <w:i/>
      <w:iCs/>
      <w:color w:val="0F4761" w:themeColor="accent1" w:themeShade="BF"/>
    </w:rPr>
  </w:style>
  <w:style w:type="paragraph" w:styleId="IntenseQuote">
    <w:name w:val="Intense Quote"/>
    <w:basedOn w:val="Normal"/>
    <w:next w:val="Normal"/>
    <w:link w:val="IntenseQuoteChar"/>
    <w:uiPriority w:val="30"/>
    <w:qFormat/>
    <w:rsid w:val="00AF6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F16"/>
    <w:rPr>
      <w:i/>
      <w:iCs/>
      <w:color w:val="0F4761" w:themeColor="accent1" w:themeShade="BF"/>
    </w:rPr>
  </w:style>
  <w:style w:type="character" w:styleId="IntenseReference">
    <w:name w:val="Intense Reference"/>
    <w:basedOn w:val="DefaultParagraphFont"/>
    <w:uiPriority w:val="32"/>
    <w:qFormat/>
    <w:rsid w:val="00AF6F16"/>
    <w:rPr>
      <w:b/>
      <w:bCs/>
      <w:smallCaps/>
      <w:color w:val="0F4761" w:themeColor="accent1" w:themeShade="BF"/>
      <w:spacing w:val="5"/>
    </w:rPr>
  </w:style>
  <w:style w:type="character" w:styleId="PlaceholderText">
    <w:name w:val="Placeholder Text"/>
    <w:basedOn w:val="DefaultParagraphFont"/>
    <w:uiPriority w:val="99"/>
    <w:semiHidden/>
    <w:rsid w:val="00C117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Zhengfan Wang</dc:creator>
  <cp:keywords/>
  <dc:description/>
  <cp:lastModifiedBy>Zhengfan Wang</cp:lastModifiedBy>
  <cp:revision>39</cp:revision>
  <dcterms:created xsi:type="dcterms:W3CDTF">2024-09-26T16:31:00Z</dcterms:created>
  <dcterms:modified xsi:type="dcterms:W3CDTF">2024-09-28T15:22:00Z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2024-09-26T16:32:02Z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7eda0546-75f0-4c38-b751-703bbfe9e62a</vt:lpwstr>
  </property>
  <property fmtid="{D5CDD505-2E9C-101B-9397-08002B2CF9AE}" pid="7" name="MSIP_Label_defa4170-0d19-0005-0004-bc88714345d2_ActionId">
    <vt:lpwstr>5b57edb8-0ca3-45db-b9f7-624f4d4087ba</vt:lpwstr>
  </property>
  <property fmtid="{D5CDD505-2E9C-101B-9397-08002B2CF9AE}" pid="8" name="MSIP_Label_defa4170-0d19-0005-0004-bc88714345d2_ContentBits">
    <vt:lpwstr>0</vt:lpwstr>
  </property>
</Properties>
</file>