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7EB" w:rsidRPr="003618BF" w:rsidRDefault="001B3AAF">
      <w:pPr>
        <w:rPr>
          <w:rFonts w:ascii="Times New Roman" w:hAnsi="Times New Roman" w:cs="Times New Roman"/>
          <w:sz w:val="24"/>
        </w:rPr>
      </w:pPr>
      <w:r w:rsidRPr="003618BF">
        <w:rPr>
          <w:rFonts w:ascii="Times New Roman" w:hAnsi="Times New Roman" w:cs="Times New Roman"/>
          <w:sz w:val="24"/>
        </w:rPr>
        <w:t>The thermionic emission model gives</w:t>
      </w:r>
      <w:r w:rsidRPr="003618BF">
        <w:rPr>
          <w:rFonts w:ascii="Times New Roman" w:hAnsi="Times New Roman" w:cs="Times New Roman"/>
          <w:sz w:val="24"/>
        </w:rPr>
        <w:t>：</w:t>
      </w:r>
    </w:p>
    <w:p w:rsidR="001B3AAF" w:rsidRPr="003618BF" w:rsidRDefault="001B3AAF" w:rsidP="001B3AAF">
      <w:pPr>
        <w:jc w:val="center"/>
        <w:rPr>
          <w:rFonts w:ascii="Times New Roman" w:hAnsi="Times New Roman" w:cs="Times New Roman"/>
          <w:sz w:val="24"/>
        </w:rPr>
      </w:pPr>
      <w:r w:rsidRPr="003618BF">
        <w:rPr>
          <w:rFonts w:ascii="Times New Roman" w:hAnsi="Times New Roman" w:cs="Times New Roman"/>
          <w:position w:val="-58"/>
          <w:sz w:val="24"/>
        </w:rPr>
        <w:object w:dxaOrig="3140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5pt;height:63.5pt" o:ole="">
            <v:imagedata r:id="rId6" o:title=""/>
          </v:shape>
          <o:OLEObject Type="Embed" ProgID="Equation.DSMT4" ShapeID="_x0000_i1025" DrawAspect="Content" ObjectID="_1765804141" r:id="rId7"/>
        </w:object>
      </w:r>
    </w:p>
    <w:p w:rsidR="001B3AAF" w:rsidRPr="003618BF" w:rsidRDefault="001B3AAF" w:rsidP="001B3AAF">
      <w:pPr>
        <w:rPr>
          <w:rFonts w:ascii="Times New Roman" w:hAnsi="Times New Roman" w:cs="Times New Roman"/>
          <w:sz w:val="24"/>
        </w:rPr>
      </w:pPr>
      <w:r w:rsidRPr="003618BF">
        <w:rPr>
          <w:rFonts w:ascii="Times New Roman" w:hAnsi="Times New Roman" w:cs="Times New Roman"/>
          <w:sz w:val="24"/>
        </w:rPr>
        <w:t xml:space="preserve">One key is to calculate the equilibrium electron and hole concentrations, In Silvaco guide book (part 3.5.2), this assumes </w:t>
      </w:r>
      <w:r w:rsidR="00E551F5" w:rsidRPr="003618BF">
        <w:rPr>
          <w:rFonts w:ascii="Times New Roman" w:hAnsi="Times New Roman" w:cs="Times New Roman"/>
          <w:sz w:val="24"/>
        </w:rPr>
        <w:t>infinite</w:t>
      </w:r>
      <w:r w:rsidRPr="003618BF">
        <w:rPr>
          <w:rFonts w:ascii="Times New Roman" w:hAnsi="Times New Roman" w:cs="Times New Roman"/>
          <w:sz w:val="24"/>
        </w:rPr>
        <w:t xml:space="preserve"> surface recombination velocity (</w:t>
      </w:r>
      <w:r w:rsidRPr="003618BF">
        <w:rPr>
          <w:rFonts w:ascii="Times New Roman" w:hAnsi="Times New Roman" w:cs="Times New Roman"/>
          <w:position w:val="-14"/>
          <w:sz w:val="24"/>
        </w:rPr>
        <w:object w:dxaOrig="1540" w:dyaOrig="380">
          <v:shape id="_x0000_i1026" type="#_x0000_t75" style="width:77pt;height:19pt" o:ole="">
            <v:imagedata r:id="rId8" o:title=""/>
          </v:shape>
          <o:OLEObject Type="Embed" ProgID="Equation.DSMT4" ShapeID="_x0000_i1026" DrawAspect="Content" ObjectID="_1765804142" r:id="rId9"/>
        </w:object>
      </w:r>
      <w:r w:rsidRPr="003618BF">
        <w:rPr>
          <w:rFonts w:ascii="Times New Roman" w:hAnsi="Times New Roman" w:cs="Times New Roman"/>
          <w:sz w:val="24"/>
        </w:rPr>
        <w:t xml:space="preserve">). So we shall calculate the carrier concentration under this condition as the equilibrium concentration. According to the “Selberherr S. Analysis and simulation of semiconductor devices” in page 29, the concentration </w:t>
      </w:r>
      <w:r w:rsidR="00E44623">
        <w:rPr>
          <w:rFonts w:ascii="Times New Roman" w:hAnsi="Times New Roman" w:cs="Times New Roman"/>
          <w:sz w:val="24"/>
        </w:rPr>
        <w:t>can be</w:t>
      </w:r>
      <w:r w:rsidRPr="003618BF">
        <w:rPr>
          <w:rFonts w:ascii="Times New Roman" w:hAnsi="Times New Roman" w:cs="Times New Roman"/>
          <w:sz w:val="24"/>
        </w:rPr>
        <w:t xml:space="preserve"> calculated by:</w:t>
      </w:r>
    </w:p>
    <w:p w:rsidR="001B3AAF" w:rsidRPr="003618BF" w:rsidRDefault="001B3AAF" w:rsidP="001B3AAF">
      <w:pPr>
        <w:jc w:val="center"/>
        <w:rPr>
          <w:rFonts w:ascii="Times New Roman" w:hAnsi="Times New Roman" w:cs="Times New Roman"/>
          <w:sz w:val="24"/>
        </w:rPr>
      </w:pPr>
      <w:r w:rsidRPr="003618BF">
        <w:rPr>
          <w:rFonts w:ascii="Times New Roman" w:hAnsi="Times New Roman" w:cs="Times New Roman"/>
          <w:position w:val="-66"/>
          <w:sz w:val="24"/>
        </w:rPr>
        <w:object w:dxaOrig="4840" w:dyaOrig="1440">
          <v:shape id="_x0000_i1027" type="#_x0000_t75" style="width:242pt;height:1in" o:ole="">
            <v:imagedata r:id="rId10" o:title=""/>
          </v:shape>
          <o:OLEObject Type="Embed" ProgID="Equation.DSMT4" ShapeID="_x0000_i1027" DrawAspect="Content" ObjectID="_1765804143" r:id="rId11"/>
        </w:object>
      </w:r>
    </w:p>
    <w:p w:rsidR="001B3AAF" w:rsidRPr="003618BF" w:rsidRDefault="001B3AAF" w:rsidP="001B3AAF">
      <w:pPr>
        <w:rPr>
          <w:rFonts w:ascii="Times New Roman" w:hAnsi="Times New Roman" w:cs="Times New Roman"/>
          <w:sz w:val="24"/>
        </w:rPr>
      </w:pPr>
      <w:r w:rsidRPr="003618BF">
        <w:rPr>
          <w:rFonts w:ascii="Times New Roman" w:hAnsi="Times New Roman" w:cs="Times New Roman"/>
          <w:sz w:val="24"/>
        </w:rPr>
        <w:t>Besides, in the Schottky contacts:</w:t>
      </w:r>
    </w:p>
    <w:p w:rsidR="001B3AAF" w:rsidRPr="003618BF" w:rsidRDefault="001B3AAF" w:rsidP="001B3AAF">
      <w:pPr>
        <w:jc w:val="center"/>
        <w:rPr>
          <w:rFonts w:ascii="Times New Roman" w:hAnsi="Times New Roman" w:cs="Times New Roman"/>
          <w:sz w:val="24"/>
        </w:rPr>
      </w:pPr>
      <w:r w:rsidRPr="003618BF">
        <w:rPr>
          <w:rFonts w:ascii="Times New Roman" w:hAnsi="Times New Roman" w:cs="Times New Roman"/>
          <w:position w:val="-66"/>
          <w:sz w:val="24"/>
        </w:rPr>
        <w:object w:dxaOrig="4740" w:dyaOrig="1440">
          <v:shape id="_x0000_i1028" type="#_x0000_t75" style="width:237pt;height:1in" o:ole="">
            <v:imagedata r:id="rId12" o:title=""/>
          </v:shape>
          <o:OLEObject Type="Embed" ProgID="Equation.DSMT4" ShapeID="_x0000_i1028" DrawAspect="Content" ObjectID="_1765804144" r:id="rId13"/>
        </w:object>
      </w:r>
    </w:p>
    <w:p w:rsidR="003737A1" w:rsidRPr="003618BF" w:rsidRDefault="003737A1" w:rsidP="003737A1">
      <w:pPr>
        <w:rPr>
          <w:rFonts w:ascii="Times New Roman" w:hAnsi="Times New Roman" w:cs="Times New Roman"/>
          <w:sz w:val="24"/>
        </w:rPr>
      </w:pPr>
      <w:r w:rsidRPr="003618BF">
        <w:rPr>
          <w:rFonts w:ascii="Times New Roman" w:hAnsi="Times New Roman" w:cs="Times New Roman"/>
          <w:sz w:val="24"/>
        </w:rPr>
        <w:t xml:space="preserve">This is the expression </w:t>
      </w:r>
      <w:r w:rsidR="008C2426">
        <w:rPr>
          <w:rFonts w:ascii="Times New Roman" w:hAnsi="Times New Roman" w:cs="Times New Roman"/>
          <w:sz w:val="24"/>
        </w:rPr>
        <w:t>in</w:t>
      </w:r>
      <w:bookmarkStart w:id="0" w:name="_GoBack"/>
      <w:bookmarkEnd w:id="0"/>
      <w:r w:rsidRPr="003618BF">
        <w:rPr>
          <w:rFonts w:ascii="Times New Roman" w:hAnsi="Times New Roman" w:cs="Times New Roman"/>
          <w:sz w:val="24"/>
        </w:rPr>
        <w:t xml:space="preserve"> the code. However, some articles (Crowell C R, Sze S M. Current transport in metal-semiconductor barriers[J]. Solid-state electronics, 1966, 9(11-12): 1035-1048.) use this:</w:t>
      </w:r>
    </w:p>
    <w:p w:rsidR="003737A1" w:rsidRPr="003618BF" w:rsidRDefault="003737A1" w:rsidP="003737A1">
      <w:pPr>
        <w:jc w:val="center"/>
        <w:rPr>
          <w:rFonts w:ascii="Times New Roman" w:hAnsi="Times New Roman" w:cs="Times New Roman"/>
          <w:sz w:val="24"/>
        </w:rPr>
      </w:pPr>
      <w:r w:rsidRPr="003618BF">
        <w:rPr>
          <w:rFonts w:ascii="Times New Roman" w:hAnsi="Times New Roman" w:cs="Times New Roman"/>
          <w:position w:val="-24"/>
          <w:sz w:val="24"/>
        </w:rPr>
        <w:object w:dxaOrig="1920" w:dyaOrig="620">
          <v:shape id="_x0000_i1029" type="#_x0000_t75" style="width:96.5pt;height:31pt" o:ole="">
            <v:imagedata r:id="rId14" o:title=""/>
          </v:shape>
          <o:OLEObject Type="Embed" ProgID="Equation.DSMT4" ShapeID="_x0000_i1029" DrawAspect="Content" ObjectID="_1765804145" r:id="rId15"/>
        </w:object>
      </w:r>
    </w:p>
    <w:p w:rsidR="003737A1" w:rsidRPr="003618BF" w:rsidRDefault="003737A1" w:rsidP="003737A1">
      <w:pPr>
        <w:rPr>
          <w:rFonts w:ascii="Times New Roman" w:hAnsi="Times New Roman" w:cs="Times New Roman"/>
          <w:sz w:val="24"/>
        </w:rPr>
      </w:pPr>
      <w:r w:rsidRPr="003618BF">
        <w:rPr>
          <w:rFonts w:ascii="Times New Roman" w:hAnsi="Times New Roman" w:cs="Times New Roman"/>
          <w:sz w:val="24"/>
        </w:rPr>
        <w:t xml:space="preserve">If we ignore terms related to the band structure, </w:t>
      </w:r>
      <w:r w:rsidR="003618BF" w:rsidRPr="003618BF">
        <w:rPr>
          <w:rFonts w:ascii="Times New Roman" w:hAnsi="Times New Roman" w:cs="Times New Roman"/>
          <w:position w:val="-12"/>
          <w:sz w:val="24"/>
        </w:rPr>
        <w:object w:dxaOrig="2299" w:dyaOrig="360">
          <v:shape id="_x0000_i1030" type="#_x0000_t75" style="width:115pt;height:18pt" o:ole="">
            <v:imagedata r:id="rId16" o:title=""/>
          </v:shape>
          <o:OLEObject Type="Embed" ProgID="Equation.DSMT4" ShapeID="_x0000_i1030" DrawAspect="Content" ObjectID="_1765804146" r:id="rId17"/>
        </w:object>
      </w:r>
      <w:r w:rsidR="003618BF" w:rsidRPr="003618BF">
        <w:rPr>
          <w:rFonts w:ascii="Times New Roman" w:hAnsi="Times New Roman" w:cs="Times New Roman"/>
          <w:sz w:val="24"/>
        </w:rPr>
        <w:t>, this will be same.</w:t>
      </w:r>
      <w:r w:rsidR="00025C11">
        <w:rPr>
          <w:rFonts w:ascii="Times New Roman" w:hAnsi="Times New Roman" w:cs="Times New Roman"/>
          <w:sz w:val="24"/>
        </w:rPr>
        <w:t xml:space="preserve"> Besides, the </w:t>
      </w:r>
      <w:r w:rsidR="00025C11" w:rsidRPr="00025C11">
        <w:rPr>
          <w:rFonts w:ascii="Times New Roman" w:hAnsi="Times New Roman" w:cs="Times New Roman"/>
          <w:sz w:val="24"/>
        </w:rPr>
        <w:t>barrier lowering</w:t>
      </w:r>
      <w:r w:rsidR="00025C11">
        <w:rPr>
          <w:rFonts w:ascii="Times New Roman" w:hAnsi="Times New Roman" w:cs="Times New Roman"/>
          <w:sz w:val="24"/>
        </w:rPr>
        <w:t xml:space="preserve"> is ignored.</w:t>
      </w:r>
    </w:p>
    <w:sectPr w:rsidR="003737A1" w:rsidRPr="00361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A09" w:rsidRDefault="00A34A09" w:rsidP="001B3AAF">
      <w:r>
        <w:separator/>
      </w:r>
    </w:p>
  </w:endnote>
  <w:endnote w:type="continuationSeparator" w:id="0">
    <w:p w:rsidR="00A34A09" w:rsidRDefault="00A34A09" w:rsidP="001B3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A09" w:rsidRDefault="00A34A09" w:rsidP="001B3AAF">
      <w:r>
        <w:separator/>
      </w:r>
    </w:p>
  </w:footnote>
  <w:footnote w:type="continuationSeparator" w:id="0">
    <w:p w:rsidR="00A34A09" w:rsidRDefault="00A34A09" w:rsidP="001B3A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C4D"/>
    <w:rsid w:val="00025C11"/>
    <w:rsid w:val="001B3AAF"/>
    <w:rsid w:val="00220C4D"/>
    <w:rsid w:val="003618BF"/>
    <w:rsid w:val="003737A1"/>
    <w:rsid w:val="008A166E"/>
    <w:rsid w:val="008A1BC6"/>
    <w:rsid w:val="008C2426"/>
    <w:rsid w:val="00A34A09"/>
    <w:rsid w:val="00BD77EB"/>
    <w:rsid w:val="00E44623"/>
    <w:rsid w:val="00E551F5"/>
    <w:rsid w:val="00F9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B73E23"/>
  <w14:defaultImageDpi w14:val="330"/>
  <w15:chartTrackingRefBased/>
  <w15:docId w15:val="{BC2CD078-FCDE-4681-ADC7-B11E8F92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3A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3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3A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6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36</cp:revision>
  <dcterms:created xsi:type="dcterms:W3CDTF">2024-01-03T07:55:00Z</dcterms:created>
  <dcterms:modified xsi:type="dcterms:W3CDTF">2024-01-03T08:20:00Z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