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8"/>
        </w:rPr>
        <w:t>修改意见回复 —— 专家二意见3补充：定量性能对比表</w:t>
      </w:r>
    </w:p>
    <w:p/>
    <w:p>
      <w:r>
        <w:rPr>
          <w:rFonts w:ascii="宋体" w:hAnsi="宋体" w:eastAsia="宋体"/>
          <w:b/>
          <w:sz w:val="24"/>
        </w:rPr>
        <w:t>补充说明：</w:t>
      </w:r>
    </w:p>
    <w:p>
      <w:pPr>
        <w:ind w:firstLine="420"/>
      </w:pPr>
      <w:r>
        <w:rPr>
          <w:rFonts w:ascii="宋体" w:hAnsi="宋体" w:eastAsia="宋体"/>
          <w:sz w:val="24"/>
        </w:rPr>
        <w:t>针对专家二意见3，我们对模糊自适应算法与传统FLL+PLL算法在三种场景下的性能进行了定量对比分析。评价指标包括频率误差均方根值（RMSE）、频率误差峰值、牵引时间（50ms滑动窗口频率误差RMS首次低于15Hz的时刻）和相位误差标准差。结果如下表所示，模糊自适应算法在所有指标上均显著优于传统方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4472C4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1440"/>
            <w:shd w:fill="4472C4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算法</w:t>
            </w:r>
          </w:p>
        </w:tc>
        <w:tc>
          <w:tcPr>
            <w:tcW w:type="dxa" w:w="1440"/>
            <w:shd w:fill="4472C4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频率RMSE</w:t>
              <w:br/>
              <w:t>(Hz)</w:t>
            </w:r>
          </w:p>
        </w:tc>
        <w:tc>
          <w:tcPr>
            <w:tcW w:type="dxa" w:w="1440"/>
            <w:shd w:fill="4472C4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峰值误差</w:t>
              <w:br/>
              <w:t>(Hz)</w:t>
            </w:r>
          </w:p>
        </w:tc>
        <w:tc>
          <w:tcPr>
            <w:tcW w:type="dxa" w:w="1440"/>
            <w:shd w:fill="4472C4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牵引时间</w:t>
              <w:br/>
              <w:t>(ms)</w:t>
            </w:r>
          </w:p>
        </w:tc>
        <w:tc>
          <w:tcPr>
            <w:tcW w:type="dxa" w:w="1440"/>
            <w:shd w:fill="4472C4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相位标准差</w:t>
              <w:br/>
              <w:t>(rad)</w:t>
            </w:r>
          </w:p>
        </w:tc>
      </w:tr>
      <w:tr>
        <w:tc>
          <w:tcPr>
            <w:tcW w:type="dxa" w:w="8640"/>
            <w:gridSpan w:val="6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场景一：50g恒加速度</w:t>
              <w:br/>
              <w:t>(初始频偏100Hz)</w:t>
            </w:r>
          </w:p>
        </w:tc>
      </w:tr>
      <w:tr>
        <w:tc>
          <w:tcPr>
            <w:tcW w:type="dxa" w:w="1440"/>
            <w:shd w:fill="E2EFDA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0"/>
            <w:shd w:fill="E2EFDA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模糊自适应</w:t>
            </w:r>
          </w:p>
        </w:tc>
        <w:tc>
          <w:tcPr>
            <w:tcW w:type="dxa" w:w="1440"/>
            <w:shd w:fill="E2EFDA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20.23</w:t>
            </w:r>
          </w:p>
        </w:tc>
        <w:tc>
          <w:tcPr>
            <w:tcW w:type="dxa" w:w="1440"/>
            <w:shd w:fill="E2EFDA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104.61</w:t>
            </w:r>
          </w:p>
        </w:tc>
        <w:tc>
          <w:tcPr>
            <w:tcW w:type="dxa" w:w="1440"/>
            <w:shd w:fill="E2EFDA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282.0</w:t>
            </w:r>
          </w:p>
        </w:tc>
        <w:tc>
          <w:tcPr>
            <w:tcW w:type="dxa" w:w="1440"/>
            <w:shd w:fill="E2EFDA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0.9417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传统FLL+PLL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53.28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185.80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445.0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1.1327</w:t>
            </w:r>
          </w:p>
        </w:tc>
      </w:tr>
      <w:tr>
        <w:tc>
          <w:tcPr>
            <w:tcW w:type="dxa" w:w="8640"/>
            <w:gridSpan w:val="6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场景二：20g/s加加速度</w:t>
              <w:br/>
              <w:t>(初始频偏100Hz)</w:t>
            </w:r>
          </w:p>
        </w:tc>
      </w:tr>
      <w:tr>
        <w:tc>
          <w:tcPr>
            <w:tcW w:type="dxa" w:w="1440"/>
            <w:shd w:fill="E2EFDA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0"/>
            <w:shd w:fill="E2EFDA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模糊自适应</w:t>
            </w:r>
          </w:p>
        </w:tc>
        <w:tc>
          <w:tcPr>
            <w:tcW w:type="dxa" w:w="1440"/>
            <w:shd w:fill="E2EFDA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7.79</w:t>
            </w:r>
          </w:p>
        </w:tc>
        <w:tc>
          <w:tcPr>
            <w:tcW w:type="dxa" w:w="1440"/>
            <w:shd w:fill="E2EFDA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90.72</w:t>
            </w:r>
          </w:p>
        </w:tc>
        <w:tc>
          <w:tcPr>
            <w:tcW w:type="dxa" w:w="1440"/>
            <w:shd w:fill="E2EFDA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26.0</w:t>
            </w:r>
          </w:p>
        </w:tc>
        <w:tc>
          <w:tcPr>
            <w:tcW w:type="dxa" w:w="1440"/>
            <w:shd w:fill="E2EFDA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0.6453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传统FLL+PLL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12.66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103.28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86.0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0.8552</w:t>
            </w:r>
          </w:p>
        </w:tc>
      </w:tr>
      <w:tr>
        <w:tc>
          <w:tcPr>
            <w:tcW w:type="dxa" w:w="8640"/>
            <w:gridSpan w:val="6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场景三：50g加速度</w:t>
              <w:br/>
              <w:t>+20g/s加加速度</w:t>
              <w:br/>
              <w:t>(初始频偏500Hz)</w:t>
            </w:r>
          </w:p>
        </w:tc>
      </w:tr>
      <w:tr>
        <w:tc>
          <w:tcPr>
            <w:tcW w:type="dxa" w:w="1440"/>
            <w:shd w:fill="E2EFDA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0"/>
            <w:shd w:fill="E2EFDA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模糊自适应</w:t>
            </w:r>
          </w:p>
        </w:tc>
        <w:tc>
          <w:tcPr>
            <w:tcW w:type="dxa" w:w="1440"/>
            <w:shd w:fill="E2EFDA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40.24</w:t>
            </w:r>
          </w:p>
        </w:tc>
        <w:tc>
          <w:tcPr>
            <w:tcW w:type="dxa" w:w="1440"/>
            <w:shd w:fill="E2EFDA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354.03</w:t>
            </w:r>
          </w:p>
        </w:tc>
        <w:tc>
          <w:tcPr>
            <w:tcW w:type="dxa" w:w="1440"/>
            <w:shd w:fill="E2EFDA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419.0</w:t>
            </w:r>
          </w:p>
        </w:tc>
        <w:tc>
          <w:tcPr>
            <w:tcW w:type="dxa" w:w="1440"/>
            <w:shd w:fill="E2EFDA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0.9964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传统FLL+PLL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91.98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456.02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626.0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1.1100</w:t>
            </w:r>
          </w:p>
        </w:tc>
      </w:tr>
    </w:tbl>
    <w:p/>
    <w:p>
      <w:r>
        <w:rPr>
          <w:rFonts w:ascii="宋体" w:hAnsi="宋体" w:eastAsia="宋体"/>
          <w:b/>
          <w:sz w:val="24"/>
        </w:rPr>
        <w:t>改善幅度汇总：</w:t>
      </w:r>
    </w:p>
    <w:p>
      <w:r>
        <w:rPr>
          <w:rFonts w:ascii="宋体" w:hAnsi="宋体" w:eastAsia="宋体"/>
          <w:sz w:val="22"/>
        </w:rPr>
        <w:t>场景一：频率RMSE降低62.0%，峰值误差降低43.7%，牵引时间缩短36.6%，相位标准差降低16.9%</w:t>
        <w:br/>
        <w:t>场景二：频率RMSE降低38.5%，峰值误差降低12.2%，牵引时间缩短69.8%，相位标准差降低24.6%</w:t>
        <w:br/>
        <w:t>场景三：频率RMSE降低56.3%，峰值误差降低22.4%，牵引时间缩短33.1%，相位标准差降低10.2%</w:t>
      </w:r>
    </w:p>
    <w:p/>
    <w:p>
      <w:r>
        <w:rPr>
          <w:rFonts w:ascii="宋体" w:hAnsi="宋体" w:eastAsia="宋体"/>
          <w:b/>
          <w:sz w:val="24"/>
        </w:rPr>
        <w:t>结论：</w:t>
      </w:r>
    </w:p>
    <w:p>
      <w:pPr>
        <w:ind w:firstLine="420"/>
      </w:pPr>
      <w:r>
        <w:rPr>
          <w:rFonts w:ascii="宋体" w:hAnsi="宋体" w:eastAsia="宋体"/>
          <w:sz w:val="24"/>
        </w:rPr>
        <w:t>定量分析结果表明，模糊自适应算法在全部三种高动态场景下，所有四项性能指标均显著优于传统FLL+PLL方法。其中，频率RMSE改善幅度达38.5%~62.0%，牵引时间缩短33.1%~69.8%，充分验证了所提模糊PD预测前馈补偿架构在超高动态载波跟踪中的先进性。这些量化数据有力地回应了专家关于"如何凸显算法优势"的关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