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rPr>
      </w:pPr>
      <w:r>
        <w:rPr>
          <w:rFonts w:hint="eastAsia"/>
          <w:b/>
          <w:bCs/>
          <w:sz w:val="40"/>
          <w:szCs w:val="48"/>
        </w:rPr>
        <w:t>Neural machine translation of food health claims applied to different languages</w:t>
      </w:r>
    </w:p>
    <w:p>
      <w:pPr>
        <w:jc w:val="center"/>
        <w:rPr>
          <w:rFonts w:hint="eastAsia"/>
          <w:b/>
          <w:bCs/>
          <w:sz w:val="40"/>
          <w:szCs w:val="48"/>
        </w:rPr>
      </w:pPr>
    </w:p>
    <w:p>
      <w:pPr>
        <w:bidi w:val="0"/>
        <w:rPr>
          <w:rFonts w:hint="eastAsia"/>
          <w:b/>
          <w:bCs/>
          <w:sz w:val="28"/>
          <w:szCs w:val="36"/>
          <w:lang w:val="en-US" w:eastAsia="zh-CN"/>
        </w:rPr>
      </w:pPr>
      <w:r>
        <w:rPr>
          <w:rFonts w:hint="eastAsia"/>
          <w:b/>
          <w:bCs/>
          <w:sz w:val="28"/>
          <w:szCs w:val="36"/>
          <w:lang w:val="en-US" w:eastAsia="zh-CN"/>
        </w:rPr>
        <w:t>Introduction</w:t>
      </w:r>
      <w:bookmarkStart w:id="0" w:name="_GoBack"/>
      <w:bookmarkEnd w:id="0"/>
    </w:p>
    <w:p>
      <w:pPr>
        <w:bidi w:val="0"/>
        <w:rPr>
          <w:rFonts w:hint="eastAsia"/>
          <w:lang w:val="en-US" w:eastAsia="zh-CN"/>
        </w:rPr>
      </w:pPr>
      <w:r>
        <w:rPr>
          <w:rFonts w:hint="eastAsia"/>
          <w:lang w:val="en-US" w:eastAsia="zh-CN"/>
        </w:rPr>
        <w:t>A health claim is a statement describing a link between a substance (food or food ingredient) and a disease or health problem. Health claims are limited to assertions about a reduced risk of disease; they cannot include promises of a cure, relief, treatment, or prevention of disease (Steele, Breen, Campbell and Martin, 2016). For example, vitamin D is an essential nutrient for the development of a normal physiological bone function.</w:t>
      </w:r>
    </w:p>
    <w:p>
      <w:pPr>
        <w:bidi w:val="0"/>
        <w:rPr>
          <w:rFonts w:hint="eastAsia"/>
          <w:lang w:val="en-US" w:eastAsia="zh-CN"/>
        </w:rPr>
      </w:pPr>
    </w:p>
    <w:p>
      <w:pPr>
        <w:bidi w:val="0"/>
        <w:rPr>
          <w:rFonts w:hint="eastAsia"/>
          <w:lang w:val="en-US" w:eastAsia="zh-CN"/>
        </w:rPr>
      </w:pPr>
      <w:r>
        <w:rPr>
          <w:rFonts w:hint="eastAsia"/>
          <w:lang w:val="en-US" w:eastAsia="zh-CN"/>
        </w:rPr>
        <w:t>The use of health claims by consumers has been shown to moderate the association between nutritional knowledge and dietary behaviour(Miller and Cassady, 2015). As online food shopping continues to grow, health claims are being used in an increasing number of countries. Consumers can make more informed food choices, guided by the health claims on food labels. For example, consumers who refer to health claims when purchasing food have a 6% reduction in dietary fat compared to non-users, significantly reducing diet-related chronic diseases(Arfaoui et al., 2021).</w:t>
      </w:r>
    </w:p>
    <w:p>
      <w:pPr>
        <w:bidi w:val="0"/>
        <w:rPr>
          <w:rFonts w:hint="eastAsia"/>
          <w:lang w:val="en-US" w:eastAsia="zh-CN"/>
        </w:rPr>
      </w:pPr>
    </w:p>
    <w:p>
      <w:pPr>
        <w:bidi w:val="0"/>
        <w:rPr>
          <w:rFonts w:hint="eastAsia"/>
          <w:lang w:val="en-US" w:eastAsia="zh-CN"/>
        </w:rPr>
      </w:pPr>
      <w:r>
        <w:rPr>
          <w:rFonts w:hint="eastAsia"/>
          <w:lang w:val="en-US" w:eastAsia="zh-CN"/>
        </w:rPr>
        <w:t>In this context, if health claims are scientifically proven to be reliable, they can accurately communicate relevant information to customers about food content (e.g. sugar-free) and health benefits (e.g. heart-healthy diet). They will help consumers to make informed food decisions and will also promote public health(van Trijp and van der Lans, 2007). But while health claims on food labels are a cost-effective way of communicating nutritional information to consumers, and consumers value nutritional information when purchasing food, nutritional information on food labels is complex and does not always fulfill its potential for effective communication(Miller and Cassady, 2015). A survey reported that most people can understand some simple basic health claims on food labels, but have more difficulty understanding more complex terms or wording, which can confuse consumers and influence product choice(Miller and Cassady, 2015).</w:t>
      </w:r>
    </w:p>
    <w:p>
      <w:pPr>
        <w:bidi w:val="0"/>
        <w:rPr>
          <w:rFonts w:hint="eastAsia"/>
          <w:lang w:val="en-US" w:eastAsia="zh-CN"/>
        </w:rPr>
      </w:pPr>
    </w:p>
    <w:p>
      <w:pPr>
        <w:bidi w:val="0"/>
        <w:rPr>
          <w:rFonts w:hint="eastAsia"/>
          <w:b/>
          <w:bCs/>
          <w:sz w:val="28"/>
          <w:szCs w:val="36"/>
          <w:lang w:val="en-US" w:eastAsia="zh-CN"/>
        </w:rPr>
      </w:pPr>
      <w:r>
        <w:rPr>
          <w:rFonts w:hint="eastAsia"/>
          <w:b/>
          <w:bCs/>
          <w:sz w:val="28"/>
          <w:szCs w:val="36"/>
          <w:lang w:val="en-US" w:eastAsia="zh-CN"/>
        </w:rPr>
        <w:t>Background</w:t>
      </w:r>
    </w:p>
    <w:p>
      <w:pPr>
        <w:bidi w:val="0"/>
        <w:rPr>
          <w:rFonts w:hint="eastAsia"/>
          <w:lang w:val="en-US" w:eastAsia="zh-CN"/>
        </w:rPr>
      </w:pPr>
    </w:p>
    <w:p>
      <w:pPr>
        <w:bidi w:val="0"/>
        <w:rPr>
          <w:rFonts w:hint="eastAsia"/>
          <w:lang w:val="en-US" w:eastAsia="zh-CN"/>
        </w:rPr>
      </w:pPr>
    </w:p>
    <w:p>
      <w:pPr>
        <w:bidi w:val="0"/>
        <w:rPr>
          <w:rFonts w:hint="eastAsia"/>
          <w:b/>
          <w:bCs/>
          <w:sz w:val="28"/>
          <w:szCs w:val="36"/>
          <w:lang w:val="en-US" w:eastAsia="zh-CN"/>
        </w:rPr>
      </w:pPr>
      <w:r>
        <w:rPr>
          <w:rFonts w:hint="eastAsia"/>
          <w:b/>
          <w:bCs/>
          <w:sz w:val="28"/>
          <w:szCs w:val="36"/>
          <w:lang w:val="en-US" w:eastAsia="zh-CN"/>
        </w:rPr>
        <w:t>Aim and Objectives</w:t>
      </w:r>
    </w:p>
    <w:p>
      <w:pPr>
        <w:bidi w:val="0"/>
        <w:rPr>
          <w:rFonts w:hint="eastAsia"/>
          <w:lang w:val="en-US" w:eastAsia="zh-CN"/>
        </w:rPr>
      </w:pPr>
    </w:p>
    <w:p>
      <w:pPr>
        <w:bidi w:val="0"/>
        <w:rPr>
          <w:rFonts w:hint="eastAsia"/>
          <w:lang w:val="en-US" w:eastAsia="zh-CN"/>
        </w:rPr>
      </w:pPr>
    </w:p>
    <w:p>
      <w:pPr>
        <w:bidi w:val="0"/>
        <w:rPr>
          <w:rFonts w:hint="default"/>
          <w:b/>
          <w:bCs/>
          <w:sz w:val="28"/>
          <w:szCs w:val="36"/>
          <w:lang w:val="en-US" w:eastAsia="zh-CN"/>
        </w:rPr>
      </w:pPr>
      <w:r>
        <w:rPr>
          <w:rFonts w:hint="default"/>
          <w:b/>
          <w:bCs/>
          <w:sz w:val="28"/>
          <w:szCs w:val="36"/>
          <w:lang w:val="en-US" w:eastAsia="zh-CN"/>
        </w:rPr>
        <w:t>Model Architecture</w:t>
      </w:r>
    </w:p>
    <w:p>
      <w:pPr>
        <w:bidi w:val="0"/>
        <w:rPr>
          <w:rFonts w:hint="default"/>
          <w:lang w:val="en-US" w:eastAsia="zh-CN"/>
        </w:rPr>
      </w:pPr>
    </w:p>
    <w:p>
      <w:pPr>
        <w:bidi w:val="0"/>
        <w:rPr>
          <w:rFonts w:hint="default"/>
          <w:lang w:val="en-US" w:eastAsia="zh-CN"/>
        </w:rPr>
      </w:pPr>
    </w:p>
    <w:p>
      <w:pPr>
        <w:bidi w:val="0"/>
        <w:rPr>
          <w:rFonts w:hint="default"/>
          <w:b/>
          <w:bCs/>
          <w:sz w:val="28"/>
          <w:szCs w:val="36"/>
          <w:lang w:val="en-US" w:eastAsia="zh-CN"/>
        </w:rPr>
      </w:pPr>
      <w:r>
        <w:rPr>
          <w:rFonts w:hint="default"/>
          <w:b/>
          <w:bCs/>
          <w:sz w:val="28"/>
          <w:szCs w:val="36"/>
          <w:lang w:val="en-US" w:eastAsia="zh-CN"/>
        </w:rPr>
        <w:t>Results</w:t>
      </w:r>
    </w:p>
    <w:p>
      <w:pPr>
        <w:bidi w:val="0"/>
        <w:rPr>
          <w:rFonts w:hint="default"/>
          <w:lang w:val="en-US" w:eastAsia="zh-CN"/>
        </w:rPr>
      </w:pPr>
    </w:p>
    <w:p>
      <w:pPr>
        <w:bidi w:val="0"/>
        <w:rPr>
          <w:rFonts w:hint="default"/>
          <w:lang w:val="en-US" w:eastAsia="zh-CN"/>
        </w:rPr>
      </w:pPr>
    </w:p>
    <w:p>
      <w:pPr>
        <w:bidi w:val="0"/>
        <w:rPr>
          <w:rFonts w:hint="default"/>
          <w:b/>
          <w:bCs/>
          <w:sz w:val="28"/>
          <w:szCs w:val="36"/>
          <w:lang w:val="en-US" w:eastAsia="zh-CN"/>
        </w:rPr>
      </w:pPr>
      <w:r>
        <w:rPr>
          <w:rFonts w:hint="default"/>
          <w:b/>
          <w:bCs/>
          <w:sz w:val="28"/>
          <w:szCs w:val="36"/>
          <w:lang w:val="en-US" w:eastAsia="zh-CN"/>
        </w:rPr>
        <w:t>Conclusion</w:t>
      </w:r>
    </w:p>
    <w:p>
      <w:pPr>
        <w:bidi w:val="0"/>
        <w:rPr>
          <w:rFonts w:hint="default"/>
          <w:lang w:val="en-US" w:eastAsia="zh-CN"/>
        </w:rPr>
      </w:pPr>
    </w:p>
    <w:p>
      <w:pPr>
        <w:bidi w:val="0"/>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References</w:t>
      </w:r>
    </w:p>
    <w:p>
      <w:pPr>
        <w:bidi w:val="0"/>
        <w:rPr>
          <w:rFonts w:hint="eastAsia"/>
          <w:lang w:val="en-US" w:eastAsia="zh-CN"/>
        </w:rPr>
      </w:pPr>
      <w:r>
        <w:rPr>
          <w:rFonts w:hint="eastAsia"/>
          <w:lang w:val="en-US" w:eastAsia="zh-CN"/>
        </w:rPr>
        <w:t>Arfaoui, L., Alkhaldy, A., Alareeshi, A., AlSaadi, G., Alhendi, S., Alghanmi, A., Alghafari, W., and Assidi, M. (2021) ‘Assessment of Knowledge and Self-Reported Use of Nutrition Facts Labels, Nutrient Content, and Health Claims among Saudi Adult Consumers’, Journal of Multidisciplinary Healthcare, Volume 14, pp. 2959-2972.</w:t>
      </w:r>
    </w:p>
    <w:p>
      <w:pPr>
        <w:bidi w:val="0"/>
        <w:rPr>
          <w:rFonts w:hint="eastAsia"/>
          <w:lang w:val="en-US" w:eastAsia="zh-CN"/>
        </w:rPr>
      </w:pPr>
    </w:p>
    <w:p>
      <w:pPr>
        <w:bidi w:val="0"/>
        <w:rPr>
          <w:rFonts w:hint="eastAsia"/>
          <w:lang w:val="en-US" w:eastAsia="zh-CN"/>
        </w:rPr>
      </w:pPr>
      <w:r>
        <w:rPr>
          <w:rFonts w:hint="eastAsia"/>
          <w:lang w:val="en-US" w:eastAsia="zh-CN"/>
        </w:rPr>
        <w:t>Health Claims Unpacked (2022) [Online]. 2022. Available at: http://www.unpackinghealthclaims.eu/#/. (Accessed: 10 June 2022).</w:t>
      </w:r>
    </w:p>
    <w:p>
      <w:pPr>
        <w:bidi w:val="0"/>
        <w:rPr>
          <w:rFonts w:hint="eastAsia"/>
          <w:lang w:val="en-US" w:eastAsia="zh-CN"/>
        </w:rPr>
      </w:pPr>
    </w:p>
    <w:p>
      <w:pPr>
        <w:bidi w:val="0"/>
        <w:rPr>
          <w:rFonts w:hint="eastAsia"/>
          <w:lang w:val="en-US" w:eastAsia="zh-CN"/>
        </w:rPr>
      </w:pPr>
      <w:r>
        <w:rPr>
          <w:rFonts w:hint="eastAsia"/>
          <w:lang w:val="en-US" w:eastAsia="zh-CN"/>
        </w:rPr>
        <w:t>Honnibal, M., &amp; Montani, I. (2017) ‘spaCy 2: Natural language understanding with Bloom embeddings, convolutional neural networks and incremental parsing’,To appear, 7(1), 411-420.</w:t>
      </w:r>
    </w:p>
    <w:p>
      <w:pPr>
        <w:bidi w:val="0"/>
        <w:rPr>
          <w:rFonts w:hint="eastAsia"/>
          <w:lang w:val="en-US" w:eastAsia="zh-CN"/>
        </w:rPr>
      </w:pPr>
    </w:p>
    <w:p>
      <w:pPr>
        <w:bidi w:val="0"/>
        <w:rPr>
          <w:rFonts w:hint="eastAsia"/>
          <w:lang w:val="en-US" w:eastAsia="zh-CN"/>
        </w:rPr>
      </w:pPr>
      <w:r>
        <w:rPr>
          <w:rFonts w:hint="eastAsia"/>
          <w:lang w:val="en-US" w:eastAsia="zh-CN"/>
        </w:rPr>
        <w:t>Li, J., Jia, R., He, H., &amp; Liang, P. (2018) ‘Delete, retrieve, generate: a simple approach to sentiment and style transfer’, arXiv preprint arXiv:1804.06437.</w:t>
      </w:r>
    </w:p>
    <w:p>
      <w:pPr>
        <w:bidi w:val="0"/>
        <w:rPr>
          <w:rFonts w:hint="eastAsia"/>
          <w:lang w:val="en-US" w:eastAsia="zh-CN"/>
        </w:rPr>
      </w:pPr>
    </w:p>
    <w:p>
      <w:pPr>
        <w:bidi w:val="0"/>
        <w:rPr>
          <w:rFonts w:hint="eastAsia"/>
          <w:lang w:val="en-US" w:eastAsia="zh-CN"/>
        </w:rPr>
      </w:pPr>
      <w:r>
        <w:rPr>
          <w:rFonts w:hint="eastAsia"/>
          <w:lang w:val="en-US" w:eastAsia="zh-CN"/>
        </w:rPr>
        <w:t xml:space="preserve">Loper, E. and Bird, S. (2002) ‘NLTK: The Natural Language Toolkit’, Proceedings of the ACL Workshop, pp. 1-8. </w:t>
      </w:r>
    </w:p>
    <w:p>
      <w:pPr>
        <w:bidi w:val="0"/>
        <w:rPr>
          <w:rFonts w:hint="eastAsia"/>
          <w:b/>
          <w:bCs/>
          <w:sz w:val="28"/>
          <w:szCs w:val="36"/>
          <w:lang w:val="en-US" w:eastAsia="zh-CN"/>
        </w:rPr>
      </w:pPr>
    </w:p>
    <w:p>
      <w:pPr>
        <w:bidi w:val="0"/>
        <w:rPr>
          <w:rFonts w:hint="eastAsia"/>
          <w:lang w:val="en-US" w:eastAsia="zh-CN"/>
        </w:rPr>
      </w:pPr>
      <w:r>
        <w:rPr>
          <w:rFonts w:hint="eastAsia"/>
          <w:lang w:val="en-US" w:eastAsia="zh-CN"/>
        </w:rPr>
        <w:t xml:space="preserve">Miller, L. and Cassady, D. (2015) ‘The effects of nutrition knowledge on food label use. A review of the literature’, Appetite, 92, pp. 207-216.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YjZkZGVkZWQ1M2I0OTU0ODA2ZTc1ZDQzMzMyNjMifQ=="/>
  </w:docVars>
  <w:rsids>
    <w:rsidRoot w:val="00000000"/>
    <w:rsid w:val="023F311C"/>
    <w:rsid w:val="3B4171D6"/>
    <w:rsid w:val="4E64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Words>
  <Characters>135</Characters>
  <Lines>0</Lines>
  <Paragraphs>0</Paragraphs>
  <TotalTime>0</TotalTime>
  <ScaleCrop>false</ScaleCrop>
  <LinksUpToDate>false</LinksUpToDate>
  <CharactersWithSpaces>146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2022-07-19T11:31:00Z</dcterms:created>
  <dc:creator>侯惠明</dc:creator>
  <cp:lastModifiedBy>政宇</cp:lastModifiedBy>
  <dcterms:modified xsi:type="dcterms:W3CDTF">2022-07-26T11:54:43Z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A461E56B35394DE6BFD6F3F75663C2C3</vt:lpwstr>
  </property>
</Properties>
</file>