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课程编号：</w:t>
      </w:r>
      <w:r>
        <w:rPr>
          <w:rFonts w:hint="eastAsia" w:ascii="仿宋_GB2312" w:eastAsia="仿宋_GB2312" w:cs="仿宋_GB2312"/>
          <w:b/>
          <w:bCs/>
          <w:sz w:val="28"/>
          <w:szCs w:val="28"/>
          <w:lang w:val="en-US" w:eastAsia="zh-CN"/>
        </w:rPr>
        <w:t>403G1013</w:t>
      </w:r>
      <w:bookmarkStart w:id="0" w:name="_GoBack"/>
      <w:bookmarkEnd w:id="0"/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445B0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蔡征芸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F25016201</w:t>
            </w:r>
          </w:p>
        </w:tc>
      </w:tr>
      <w:tr w14:paraId="493A9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157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6FD60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49BA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2026年10月9日</w:t>
            </w:r>
          </w:p>
        </w:tc>
      </w:tr>
      <w:tr w14:paraId="3E4D8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69D59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7FEEBDAD">
      <w:pPr>
        <w:jc w:val="center"/>
      </w:pPr>
      <w:r>
        <w:rPr>
          <w:rFonts w:hint="eastAsia" w:ascii="仿宋_GB2312" w:hAnsi="宋体" w:eastAsia="仿宋_GB2312" w:cs="仿宋_GB2312"/>
          <w:b/>
          <w:bCs/>
          <w:sz w:val="28"/>
          <w:szCs w:val="28"/>
          <w:lang w:val="en-US" w:eastAsia="zh-CN"/>
        </w:rPr>
        <w:t>上海杉达学院</w:t>
      </w:r>
      <w:r>
        <w:rPr>
          <w:rFonts w:ascii="仿宋_GB2312" w:hAnsi="宋体" w:eastAsia="仿宋_GB2312"/>
          <w:sz w:val="32"/>
          <w:szCs w:val="32"/>
        </w:rPr>
        <w:br w:type="page"/>
      </w:r>
    </w:p>
    <w:p w14:paraId="3E034309">
      <w:pPr>
        <w:snapToGrid w:val="0"/>
        <w:jc w:val="left"/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1、选取的开源项目介绍：Apache Commons Lang</w:t>
      </w:r>
    </w:p>
    <w:p w14:paraId="2A5FCE10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Apache Commons Lang 是 Apache 软件基金会 Commons 组件库中最常用的工具类库之一，项目始于 2001 年。它为 java.lang 包提供了一系列"理应存在于标准库中"的增强工具类，涵盖字符串处理（StringUtils）、数值运算（NumberUtils）、反射（MethodUtils、FieldUtils）、并发（ConcurrentUtils）、时间（DateUtils、StopWatch）与元组（Pair、Triple）等，被大量 Java 项目作为基础依赖引入。</w:t>
      </w:r>
    </w:p>
    <w:p w14:paraId="36ACCD5A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本次选取其 master 分支源码（commit 32dc4c5，2026-10-07），Maven 坐标为 org.apache.commons:commons-lang3:3.21.1-SNAPSHOT。项目基本信息如表 1 所示。</w:t>
      </w:r>
    </w:p>
    <w:p w14:paraId="5E79E83B">
      <w:pPr>
        <w:snapToGrid w:val="0"/>
        <w:jc w:val="center"/>
      </w:pPr>
      <w:r>
        <w:rPr>
          <w:rFonts w:hint="eastAsia"/>
          <w:b/>
          <w:bCs/>
        </w:rPr>
        <w:t>表 1　Apache Commons Lang 项目基本信息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30"/>
        <w:gridCol w:w="4366"/>
      </w:tblGrid>
      <w:tr w14:paraId="05CBB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595D467D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项目</w:t>
            </w:r>
          </w:p>
        </w:tc>
        <w:tc>
          <w:tcPr>
            <w:tcW w:w="4153" w:type="dxa"/>
          </w:tcPr>
          <w:p w14:paraId="5000D43F">
            <w:pPr>
              <w:snapToGrid w:val="0"/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>内容</w:t>
            </w:r>
          </w:p>
        </w:tc>
      </w:tr>
      <w:tr w14:paraId="30BBA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4807C8C">
            <w:pPr>
              <w:snapToGrid w:val="0"/>
              <w:jc w:val="center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4153" w:type="dxa"/>
          </w:tcPr>
          <w:p w14:paraId="65491343">
            <w:pPr>
              <w:snapToGrid w:val="0"/>
              <w:jc w:val="left"/>
            </w:pPr>
            <w:r>
              <w:rPr>
                <w:rFonts w:hint="eastAsia"/>
              </w:rPr>
              <w:t>Apache Commons Lang（commons-lang3）</w:t>
            </w:r>
          </w:p>
        </w:tc>
      </w:tr>
      <w:tr w14:paraId="5E437B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55B4BD0">
            <w:pPr>
              <w:snapToGrid w:val="0"/>
              <w:jc w:val="center"/>
            </w:pPr>
            <w:r>
              <w:rPr>
                <w:rFonts w:hint="eastAsia"/>
              </w:rPr>
              <w:t>所属开源社区</w:t>
            </w:r>
          </w:p>
        </w:tc>
        <w:tc>
          <w:tcPr>
            <w:tcW w:w="4153" w:type="dxa"/>
          </w:tcPr>
          <w:p w14:paraId="32C974ED">
            <w:pPr>
              <w:snapToGrid w:val="0"/>
              <w:jc w:val="left"/>
            </w:pPr>
            <w:r>
              <w:rPr>
                <w:rFonts w:hint="eastAsia"/>
              </w:rPr>
              <w:t>Apache 软件基金会（ASF）</w:t>
            </w:r>
          </w:p>
        </w:tc>
      </w:tr>
      <w:tr w14:paraId="3A35B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7491D78">
            <w:pPr>
              <w:snapToGrid w:val="0"/>
              <w:jc w:val="center"/>
            </w:pPr>
            <w:r>
              <w:rPr>
                <w:rFonts w:hint="eastAsia"/>
              </w:rPr>
              <w:t>代码仓库</w:t>
            </w:r>
          </w:p>
        </w:tc>
        <w:tc>
          <w:tcPr>
            <w:tcW w:w="4153" w:type="dxa"/>
          </w:tcPr>
          <w:p w14:paraId="3ED99FD7">
            <w:pPr>
              <w:snapToGrid w:val="0"/>
              <w:jc w:val="left"/>
            </w:pPr>
            <w:r>
              <w:t>https://github.com/apache/commons-lang</w:t>
            </w:r>
          </w:p>
        </w:tc>
      </w:tr>
      <w:tr w14:paraId="1035F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3596640">
            <w:pPr>
              <w:snapToGrid w:val="0"/>
              <w:jc w:val="center"/>
            </w:pPr>
            <w:r>
              <w:rPr>
                <w:rFonts w:hint="eastAsia"/>
              </w:rPr>
              <w:t>官方网站</w:t>
            </w:r>
          </w:p>
        </w:tc>
        <w:tc>
          <w:tcPr>
            <w:tcW w:w="4153" w:type="dxa"/>
          </w:tcPr>
          <w:p w14:paraId="595E9A0A">
            <w:pPr>
              <w:snapToGrid w:val="0"/>
              <w:jc w:val="left"/>
            </w:pPr>
            <w:r>
              <w:t>https://commons.apache.org/proper/commons-lang/</w:t>
            </w:r>
          </w:p>
        </w:tc>
      </w:tr>
      <w:tr w14:paraId="05C22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CD7BBB5">
            <w:pPr>
              <w:snapToGrid w:val="0"/>
              <w:jc w:val="center"/>
            </w:pPr>
            <w:r>
              <w:rPr>
                <w:rFonts w:hint="eastAsia"/>
              </w:rPr>
              <w:t>当前版本</w:t>
            </w:r>
          </w:p>
        </w:tc>
        <w:tc>
          <w:tcPr>
            <w:tcW w:w="4153" w:type="dxa"/>
          </w:tcPr>
          <w:p w14:paraId="4003C5AA">
            <w:pPr>
              <w:snapToGrid w:val="0"/>
              <w:jc w:val="left"/>
            </w:pPr>
            <w:r>
              <w:rPr>
                <w:rFonts w:hint="eastAsia"/>
              </w:rPr>
              <w:t>3.21.1-SNAPSHOT（master 分支，commit 32dc4c5）</w:t>
            </w:r>
          </w:p>
        </w:tc>
      </w:tr>
      <w:tr w14:paraId="3E46B1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7804E21">
            <w:pPr>
              <w:snapToGrid w:val="0"/>
              <w:jc w:val="center"/>
            </w:pPr>
            <w:r>
              <w:rPr>
                <w:rFonts w:hint="eastAsia"/>
              </w:rPr>
              <w:t>主许可证</w:t>
            </w:r>
          </w:p>
        </w:tc>
        <w:tc>
          <w:tcPr>
            <w:tcW w:w="4153" w:type="dxa"/>
          </w:tcPr>
          <w:p w14:paraId="2396955B">
            <w:pPr>
              <w:snapToGrid w:val="0"/>
              <w:jc w:val="left"/>
            </w:pPr>
            <w:r>
              <w:rPr>
                <w:rFonts w:hint="eastAsia"/>
              </w:rPr>
              <w:t>Apache License 2.0（LICENSE.txt、NOTICE.txt 齐全）</w:t>
            </w:r>
          </w:p>
        </w:tc>
      </w:tr>
      <w:tr w14:paraId="1FA75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72D7DF7">
            <w:pPr>
              <w:snapToGrid w:val="0"/>
              <w:jc w:val="center"/>
            </w:pPr>
            <w:r>
              <w:rPr>
                <w:rFonts w:hint="eastAsia"/>
              </w:rPr>
              <w:t>编程语言</w:t>
            </w:r>
          </w:p>
        </w:tc>
        <w:tc>
          <w:tcPr>
            <w:tcW w:w="4153" w:type="dxa"/>
          </w:tcPr>
          <w:p w14:paraId="4E2C4B72">
            <w:pPr>
              <w:snapToGrid w:val="0"/>
              <w:jc w:val="left"/>
            </w:pPr>
            <w:r>
              <w:rPr>
                <w:rFonts w:hint="eastAsia"/>
              </w:rPr>
              <w:t>Java（目标 Java 8，CI 覆盖 JDK 8/11/17/21/25）</w:t>
            </w:r>
          </w:p>
        </w:tc>
      </w:tr>
      <w:tr w14:paraId="4DFE3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DA5C48D">
            <w:pPr>
              <w:snapToGrid w:val="0"/>
              <w:jc w:val="center"/>
            </w:pPr>
            <w:r>
              <w:rPr>
                <w:rFonts w:hint="eastAsia"/>
              </w:rPr>
              <w:t>构建工具</w:t>
            </w:r>
          </w:p>
        </w:tc>
        <w:tc>
          <w:tcPr>
            <w:tcW w:w="4153" w:type="dxa"/>
          </w:tcPr>
          <w:p w14:paraId="066E08F1">
            <w:pPr>
              <w:snapToGrid w:val="0"/>
              <w:jc w:val="left"/>
            </w:pPr>
            <w:r>
              <w:rPr>
                <w:rFonts w:hint="eastAsia"/>
              </w:rPr>
              <w:t>Maven（父 POM：commons-parent 105）</w:t>
            </w:r>
          </w:p>
        </w:tc>
      </w:tr>
    </w:tbl>
    <w:p w14:paraId="32498080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选取该项目主要基于三点考虑：其一，它是 Apache 社区最具代表性的基础类库之一，使用者众多，其许可证合规状况具有示范意义；其二，项目规模适中（约数百个源文件），可在有限时间内完成完整扫描；其三，项目自身的许可证文件规范齐全，便于将扫描结果与项目实际声明相互印证。</w:t>
      </w:r>
    </w:p>
    <w:p w14:paraId="389FC1C7">
      <w:pPr>
        <w:widowControl/>
        <w:snapToGrid w:val="0"/>
        <w:jc w:val="center"/>
        <w:rPr>
          <w:rFonts w:ascii="仿宋_GB2312" w:hAnsi="宋体" w:eastAsia="仿宋_GB2312"/>
          <w:b/>
          <w:bCs/>
          <w:sz w:val="24"/>
          <w:szCs w:val="24"/>
        </w:rPr>
      </w:pPr>
    </w:p>
    <w:p w14:paraId="7FEEBDAE">
      <w:pPr>
        <w:snapToGrid w:val="0"/>
        <w:jc w:val="left"/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2、许可证合规检测工具的安装过程及遇到的问题</w:t>
      </w:r>
    </w:p>
    <w:p w14:paraId="3116E94C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2.1　工具选型</w:t>
      </w:r>
    </w:p>
    <w:p w14:paraId="03C95707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在参考工具列表中，本文对多款工具进行了比较：Apache Rat、Apache Tentacles、SPDX Tools、QMSTR 等基于 Java 实现，需要额外安装 JDK 与 Maven 环境；Fossology、Eclipse SW360 面向组织级合规流程，需要部署服务器端；ScanCode Toolkit 功能全面但报告为英文输出。综合考虑检测质量、报告完整性与本地环境（Windows 11，未安装 Java 环境），最终选用开源工具 OpenSCA CLI v3.0.5。OpenSCA 采用单文件可执行程序分发，免安装、免配置运行时，原生支持 Maven、Gradle、npm、Composer、Go、Cargo 等十余种包管理器，可一次输出 HTML、JSON、SPDX、CycloneDX 等 8 种格式报告，并内置组件许可证与漏洞信息的关联能力。</w:t>
      </w:r>
    </w:p>
    <w:p w14:paraId="694E616D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2.2　安装与执行过程</w:t>
      </w:r>
    </w:p>
    <w:p w14:paraId="4800821E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（1）从 Gitee Releases 下载 opensca-cli-v3.0.5-windows-amd64.zip（约 7.2 MB）；</w:t>
      </w:r>
    </w:p>
    <w:p w14:paraId="5C157F39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（2）解压得到 opensca-cli.exe（约 18 MB），官方说明无需配置环境变量；</w:t>
      </w:r>
    </w:p>
    <w:p w14:paraId="76F2C087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（3）使用 git clone 拉取 commons-lang 源码到本地；</w:t>
      </w:r>
    </w:p>
    <w:p w14:paraId="064AB780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（4）执行扫描命令：opensca-cli.exe -path .\commons-lang -out report.html -log opensca.log</w:t>
      </w:r>
    </w:p>
    <w:p w14:paraId="4E4E48F5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（5）扫描完成后自动生成 report.html，并同时记录 opensca.log 运行日志。</w:t>
      </w:r>
    </w:p>
    <w:p w14:paraId="6E5AFBEE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2.3　安装及使用过程中遇到的问题</w:t>
      </w:r>
    </w:p>
    <w:p w14:paraId="506D6974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问题一：目录嵌套导致 -path 定位错误。初次解压后形成了"opensource_scan/opensource_scan/commons-lang"的双层同名目录，首次执行时 -path 指向了外层目录，工具遍历后未定位到 pom.xml。排查后将 -path 指向实际包含项目源码的目录，扫描即正常运行。</w:t>
      </w:r>
    </w:p>
    <w:p w14:paraId="5F015199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问题二：漏洞数据库未配置。扫描日志出现告警"database origin error: not config vuln database origin"，导致报告中的漏洞统计全部为 0。原因是 OpenSCA 的漏洞库需在 config.json 中配置云端服务 token 或本地漏洞库文件（如 db-demo.json）。本次作业以许可证合规检测为主，该告警不影响许可证识别结果，但若需进行漏洞关联分析则必须先配置。</w:t>
      </w:r>
    </w:p>
    <w:p w14:paraId="03CEEEEE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问题三：Maven 组件仓库的网络访问。OpenSCA 解析 pom.xml 时需联网获取父 POM 与依赖元数据。经检查，其内置默认使用阿里云 Maven 镜像（maven.aliyun.com），本次扫描发起的 20 余次组件元数据请求全部返回 200，整体耗时仅 2.7 秒，未出现访问国外中央仓库超时的问题；若在网络受限环境中使用，应在 config.json 的 repo.maven 中显式配置国内镜像。</w:t>
      </w:r>
    </w:p>
    <w:p w14:paraId="0500CEB8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问题四：配置文件未显式加载。日志首行显示"use config:"为空，说明本次运行未通过 -config 参数显式指定配置文件，工具按内置默认值执行。若需启用自定义仓库镜像、漏洞库或网络代理，应使用 -config config.json 显式指定。</w:t>
      </w:r>
    </w:p>
    <w:p w14:paraId="76891738">
      <w:pPr>
        <w:widowControl/>
        <w:snapToGrid w:val="0"/>
        <w:jc w:val="left"/>
        <w:rPr>
          <w:rFonts w:ascii="仿宋_GB2312" w:hAnsi="宋体" w:eastAsia="仿宋_GB2312"/>
          <w:b/>
          <w:bCs/>
          <w:sz w:val="24"/>
          <w:szCs w:val="24"/>
        </w:rPr>
      </w:pPr>
    </w:p>
    <w:p w14:paraId="7FEEBDAF">
      <w:pPr>
        <w:snapToGrid w:val="0"/>
        <w:jc w:val="left"/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3、工具输出的检测报告</w:t>
      </w:r>
    </w:p>
    <w:p w14:paraId="354E1741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3.1　扫描命令与运行信息</w:t>
      </w:r>
    </w:p>
    <w:p w14:paraId="4364CB22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本次扫描执行的命令为：opensca-cli.exe -path .\commons-lang -out report.html -log opensca.log。工具自动遍历目录、识别 pom.xml、递归解析依赖树并联网补全组件元数据，最终生成 HTML 检测报告，全程耗时 2.75 秒，检出组件 14 个、漏洞 0 个。工具输出的扫描信息与结果总览如图 1 所示。</w:t>
      </w:r>
    </w:p>
    <w:p w14:paraId="04F60023">
      <w:pPr>
        <w:snapToGrid w:val="0"/>
        <w:jc w:val="center"/>
      </w:pPr>
      <w:r>
        <w:drawing>
          <wp:inline distT="0" distB="0" distL="0" distR="0">
            <wp:extent cx="4572000" cy="2371725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020C">
      <w:pPr>
        <w:snapToGrid w:val="0"/>
        <w:jc w:val="center"/>
      </w:pPr>
      <w:r>
        <w:rPr>
          <w:rFonts w:hint="eastAsia"/>
          <w:b/>
          <w:bCs/>
        </w:rPr>
        <w:t>图 1　OpenSCA 检测报告——扫描信息与结果总览</w:t>
      </w:r>
    </w:p>
    <w:p w14:paraId="5712B666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3.2　依赖组件及许可证检测结果</w:t>
      </w:r>
    </w:p>
    <w:p w14:paraId="44133260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OpenSCA 共检出 14 个 Java 组件，其中直接依赖 4 个、间接依赖 10 个，风险等级均为"无漏洞"。检测结果如图 2 所示，完整清单见表 2。</w:t>
      </w:r>
    </w:p>
    <w:p w14:paraId="78831B6F">
      <w:pPr>
        <w:snapToGrid w:val="0"/>
        <w:jc w:val="center"/>
      </w:pPr>
      <w:r>
        <w:drawing>
          <wp:inline distT="0" distB="0" distL="0" distR="0">
            <wp:extent cx="4572000" cy="2809875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4551">
      <w:pPr>
        <w:snapToGrid w:val="0"/>
        <w:jc w:val="center"/>
      </w:pPr>
      <w:r>
        <w:rPr>
          <w:rFonts w:hint="eastAsia"/>
          <w:b/>
          <w:bCs/>
        </w:rPr>
        <w:t>图 2　OpenSCA 依赖组件及许可证检测结果（节选）</w:t>
      </w:r>
    </w:p>
    <w:p w14:paraId="366EE1BA">
      <w:pPr>
        <w:snapToGrid w:val="0"/>
        <w:jc w:val="center"/>
      </w:pPr>
      <w:r>
        <w:rPr>
          <w:rFonts w:hint="eastAsia"/>
          <w:b/>
          <w:bCs/>
        </w:rPr>
        <w:t>表 2　检出组件的许可证清单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3643"/>
        <w:gridCol w:w="1711"/>
        <w:gridCol w:w="1278"/>
        <w:gridCol w:w="832"/>
      </w:tblGrid>
      <w:tr w14:paraId="3E819A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</w:tcPr>
          <w:p w14:paraId="2D4E1D74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661" w:type="dxa"/>
          </w:tcPr>
          <w:p w14:paraId="581DCE95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组件标识</w:t>
            </w:r>
          </w:p>
        </w:tc>
        <w:tc>
          <w:tcPr>
            <w:tcW w:w="1661" w:type="dxa"/>
          </w:tcPr>
          <w:p w14:paraId="5F71A08B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1661" w:type="dxa"/>
          </w:tcPr>
          <w:p w14:paraId="6801361D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许可证</w:t>
            </w:r>
          </w:p>
        </w:tc>
        <w:tc>
          <w:tcPr>
            <w:tcW w:w="1661" w:type="dxa"/>
          </w:tcPr>
          <w:p w14:paraId="23CA173C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依赖类型</w:t>
            </w:r>
          </w:p>
        </w:tc>
      </w:tr>
      <w:tr w14:paraId="54BA8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A2B87F2">
            <w:pPr>
              <w:snapToGrid w:val="0"/>
              <w:jc w:val="center"/>
            </w:pPr>
            <w:r>
              <w:t>1</w:t>
            </w:r>
          </w:p>
        </w:tc>
        <w:tc>
          <w:tcPr>
            <w:tcW w:w="1661" w:type="dxa"/>
          </w:tcPr>
          <w:p w14:paraId="27BEE5CA">
            <w:pPr>
              <w:snapToGrid w:val="0"/>
              <w:jc w:val="center"/>
            </w:pPr>
            <w:r>
              <w:t>org.apache.commons:commons-lang3</w:t>
            </w:r>
          </w:p>
        </w:tc>
        <w:tc>
          <w:tcPr>
            <w:tcW w:w="1661" w:type="dxa"/>
          </w:tcPr>
          <w:p w14:paraId="25F778E0">
            <w:pPr>
              <w:snapToGrid w:val="0"/>
              <w:jc w:val="center"/>
            </w:pPr>
            <w:r>
              <w:t>3.21.1-SNAPSHOT</w:t>
            </w:r>
          </w:p>
        </w:tc>
        <w:tc>
          <w:tcPr>
            <w:tcW w:w="1661" w:type="dxa"/>
          </w:tcPr>
          <w:p w14:paraId="57C84B2F">
            <w:pPr>
              <w:snapToGrid w:val="0"/>
              <w:jc w:val="center"/>
            </w:pPr>
            <w:r>
              <w:rPr>
                <w:rFonts w:hint="eastAsia"/>
              </w:rPr>
              <w:t>未识别（根组件）</w:t>
            </w:r>
          </w:p>
        </w:tc>
        <w:tc>
          <w:tcPr>
            <w:tcW w:w="1661" w:type="dxa"/>
          </w:tcPr>
          <w:p w14:paraId="4EF5CB0D">
            <w:pPr>
              <w:snapToGrid w:val="0"/>
              <w:jc w:val="center"/>
            </w:pPr>
            <w:r>
              <w:rPr>
                <w:rFonts w:hint="eastAsia"/>
              </w:rPr>
              <w:t>直接</w:t>
            </w:r>
          </w:p>
        </w:tc>
      </w:tr>
      <w:tr w14:paraId="3C992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4511AB0B">
            <w:pPr>
              <w:snapToGrid w:val="0"/>
              <w:jc w:val="center"/>
            </w:pPr>
            <w:r>
              <w:t>2</w:t>
            </w:r>
          </w:p>
        </w:tc>
        <w:tc>
          <w:tcPr>
            <w:tcW w:w="1661" w:type="dxa"/>
          </w:tcPr>
          <w:p w14:paraId="20013DD3">
            <w:pPr>
              <w:snapToGrid w:val="0"/>
              <w:jc w:val="center"/>
            </w:pPr>
            <w:r>
              <w:t>org.junit.jupiter:junit-jupiter</w:t>
            </w:r>
          </w:p>
        </w:tc>
        <w:tc>
          <w:tcPr>
            <w:tcW w:w="1661" w:type="dxa"/>
          </w:tcPr>
          <w:p w14:paraId="1ED9F146">
            <w:pPr>
              <w:snapToGrid w:val="0"/>
              <w:jc w:val="center"/>
            </w:pPr>
            <w:r>
              <w:t>5.14.4</w:t>
            </w:r>
          </w:p>
        </w:tc>
        <w:tc>
          <w:tcPr>
            <w:tcW w:w="1661" w:type="dxa"/>
          </w:tcPr>
          <w:p w14:paraId="2EDE86CB">
            <w:pPr>
              <w:snapToGrid w:val="0"/>
              <w:jc w:val="center"/>
            </w:pPr>
            <w:r>
              <w:t>EPL-2.0</w:t>
            </w:r>
          </w:p>
        </w:tc>
        <w:tc>
          <w:tcPr>
            <w:tcW w:w="1661" w:type="dxa"/>
          </w:tcPr>
          <w:p w14:paraId="25BF344D">
            <w:pPr>
              <w:snapToGrid w:val="0"/>
              <w:jc w:val="center"/>
            </w:pPr>
            <w:r>
              <w:rPr>
                <w:rFonts w:hint="eastAsia"/>
              </w:rPr>
              <w:t>直接</w:t>
            </w:r>
          </w:p>
        </w:tc>
      </w:tr>
      <w:tr w14:paraId="4D0F2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D5C67AC">
            <w:pPr>
              <w:snapToGrid w:val="0"/>
              <w:jc w:val="center"/>
            </w:pPr>
            <w:r>
              <w:t>3</w:t>
            </w:r>
          </w:p>
        </w:tc>
        <w:tc>
          <w:tcPr>
            <w:tcW w:w="1661" w:type="dxa"/>
          </w:tcPr>
          <w:p w14:paraId="0792AE0E">
            <w:pPr>
              <w:snapToGrid w:val="0"/>
              <w:jc w:val="center"/>
            </w:pPr>
            <w:r>
              <w:t>org.junit-pioneer:junit-pioneer</w:t>
            </w:r>
          </w:p>
        </w:tc>
        <w:tc>
          <w:tcPr>
            <w:tcW w:w="1661" w:type="dxa"/>
          </w:tcPr>
          <w:p w14:paraId="54135190">
            <w:pPr>
              <w:snapToGrid w:val="0"/>
              <w:jc w:val="center"/>
            </w:pPr>
            <w:r>
              <w:t>1.9.1</w:t>
            </w:r>
          </w:p>
        </w:tc>
        <w:tc>
          <w:tcPr>
            <w:tcW w:w="1661" w:type="dxa"/>
          </w:tcPr>
          <w:p w14:paraId="6423AA26">
            <w:pPr>
              <w:snapToGrid w:val="0"/>
              <w:jc w:val="center"/>
            </w:pPr>
            <w:r>
              <w:t>EPL-2.0</w:t>
            </w:r>
          </w:p>
        </w:tc>
        <w:tc>
          <w:tcPr>
            <w:tcW w:w="1661" w:type="dxa"/>
          </w:tcPr>
          <w:p w14:paraId="5BB86CE4">
            <w:pPr>
              <w:snapToGrid w:val="0"/>
              <w:jc w:val="center"/>
            </w:pPr>
            <w:r>
              <w:rPr>
                <w:rFonts w:hint="eastAsia"/>
              </w:rPr>
              <w:t>直接</w:t>
            </w:r>
          </w:p>
        </w:tc>
      </w:tr>
      <w:tr w14:paraId="28530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529CC2DA">
            <w:pPr>
              <w:snapToGrid w:val="0"/>
              <w:jc w:val="center"/>
            </w:pPr>
            <w:r>
              <w:t>4</w:t>
            </w:r>
          </w:p>
        </w:tc>
        <w:tc>
          <w:tcPr>
            <w:tcW w:w="1661" w:type="dxa"/>
          </w:tcPr>
          <w:p w14:paraId="24BF44D7">
            <w:pPr>
              <w:snapToGrid w:val="0"/>
              <w:jc w:val="center"/>
            </w:pPr>
            <w:r>
              <w:t>org.mockito:mockito-inline</w:t>
            </w:r>
          </w:p>
        </w:tc>
        <w:tc>
          <w:tcPr>
            <w:tcW w:w="1661" w:type="dxa"/>
          </w:tcPr>
          <w:p w14:paraId="12FE20A3">
            <w:pPr>
              <w:snapToGrid w:val="0"/>
              <w:jc w:val="center"/>
            </w:pPr>
            <w:r>
              <w:t>4.11.0</w:t>
            </w:r>
          </w:p>
        </w:tc>
        <w:tc>
          <w:tcPr>
            <w:tcW w:w="1661" w:type="dxa"/>
          </w:tcPr>
          <w:p w14:paraId="2BE4BA19">
            <w:pPr>
              <w:snapToGrid w:val="0"/>
              <w:jc w:val="center"/>
            </w:pPr>
            <w:r>
              <w:t>MIT</w:t>
            </w:r>
          </w:p>
        </w:tc>
        <w:tc>
          <w:tcPr>
            <w:tcW w:w="1661" w:type="dxa"/>
          </w:tcPr>
          <w:p w14:paraId="22F8D81F">
            <w:pPr>
              <w:snapToGrid w:val="0"/>
              <w:jc w:val="center"/>
            </w:pPr>
            <w:r>
              <w:rPr>
                <w:rFonts w:hint="eastAsia"/>
              </w:rPr>
              <w:t>直接</w:t>
            </w:r>
          </w:p>
        </w:tc>
      </w:tr>
      <w:tr w14:paraId="2AAA4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A157E1D">
            <w:pPr>
              <w:snapToGrid w:val="0"/>
              <w:jc w:val="center"/>
            </w:pPr>
            <w:r>
              <w:t>5</w:t>
            </w:r>
          </w:p>
        </w:tc>
        <w:tc>
          <w:tcPr>
            <w:tcW w:w="1661" w:type="dxa"/>
          </w:tcPr>
          <w:p w14:paraId="7C030052">
            <w:pPr>
              <w:snapToGrid w:val="0"/>
              <w:jc w:val="center"/>
            </w:pPr>
            <w:r>
              <w:t>org.junit.jupiter:junit-jupiter-api</w:t>
            </w:r>
          </w:p>
        </w:tc>
        <w:tc>
          <w:tcPr>
            <w:tcW w:w="1661" w:type="dxa"/>
          </w:tcPr>
          <w:p w14:paraId="6A4824C6">
            <w:pPr>
              <w:snapToGrid w:val="0"/>
              <w:jc w:val="center"/>
            </w:pPr>
            <w:r>
              <w:t>5.14.4</w:t>
            </w:r>
          </w:p>
        </w:tc>
        <w:tc>
          <w:tcPr>
            <w:tcW w:w="1661" w:type="dxa"/>
          </w:tcPr>
          <w:p w14:paraId="75AE6D5B">
            <w:pPr>
              <w:snapToGrid w:val="0"/>
              <w:jc w:val="center"/>
            </w:pPr>
            <w:r>
              <w:t>EPL-2.0</w:t>
            </w:r>
          </w:p>
        </w:tc>
        <w:tc>
          <w:tcPr>
            <w:tcW w:w="1661" w:type="dxa"/>
          </w:tcPr>
          <w:p w14:paraId="7E810152">
            <w:pPr>
              <w:snapToGrid w:val="0"/>
              <w:jc w:val="center"/>
            </w:pPr>
            <w:r>
              <w:rPr>
                <w:rFonts w:hint="eastAsia"/>
              </w:rPr>
              <w:t>间接</w:t>
            </w:r>
          </w:p>
        </w:tc>
      </w:tr>
      <w:tr w14:paraId="5FC8F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676CB1DC">
            <w:pPr>
              <w:snapToGrid w:val="0"/>
              <w:jc w:val="center"/>
            </w:pPr>
            <w:r>
              <w:t>6</w:t>
            </w:r>
          </w:p>
        </w:tc>
        <w:tc>
          <w:tcPr>
            <w:tcW w:w="1661" w:type="dxa"/>
          </w:tcPr>
          <w:p w14:paraId="2032CBB1">
            <w:pPr>
              <w:snapToGrid w:val="0"/>
              <w:jc w:val="center"/>
            </w:pPr>
            <w:r>
              <w:t>org.junit.jupiter:junit-jupiter-params</w:t>
            </w:r>
          </w:p>
        </w:tc>
        <w:tc>
          <w:tcPr>
            <w:tcW w:w="1661" w:type="dxa"/>
          </w:tcPr>
          <w:p w14:paraId="11EBA8A5">
            <w:pPr>
              <w:snapToGrid w:val="0"/>
              <w:jc w:val="center"/>
            </w:pPr>
            <w:r>
              <w:t>5.14.4</w:t>
            </w:r>
          </w:p>
        </w:tc>
        <w:tc>
          <w:tcPr>
            <w:tcW w:w="1661" w:type="dxa"/>
          </w:tcPr>
          <w:p w14:paraId="21935155">
            <w:pPr>
              <w:snapToGrid w:val="0"/>
              <w:jc w:val="center"/>
            </w:pPr>
            <w:r>
              <w:t>EPL-2.0</w:t>
            </w:r>
          </w:p>
        </w:tc>
        <w:tc>
          <w:tcPr>
            <w:tcW w:w="1661" w:type="dxa"/>
          </w:tcPr>
          <w:p w14:paraId="2AB2FD53">
            <w:pPr>
              <w:snapToGrid w:val="0"/>
              <w:jc w:val="center"/>
            </w:pPr>
            <w:r>
              <w:rPr>
                <w:rFonts w:hint="eastAsia"/>
              </w:rPr>
              <w:t>间接</w:t>
            </w:r>
          </w:p>
        </w:tc>
      </w:tr>
      <w:tr w14:paraId="4464D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34A5DC9">
            <w:pPr>
              <w:snapToGrid w:val="0"/>
              <w:jc w:val="center"/>
            </w:pPr>
            <w:r>
              <w:t>7</w:t>
            </w:r>
          </w:p>
        </w:tc>
        <w:tc>
          <w:tcPr>
            <w:tcW w:w="1661" w:type="dxa"/>
          </w:tcPr>
          <w:p w14:paraId="5C6C9FBC">
            <w:pPr>
              <w:snapToGrid w:val="0"/>
              <w:jc w:val="center"/>
            </w:pPr>
            <w:r>
              <w:t>org.junit.jupiter:junit-jupiter-engine</w:t>
            </w:r>
          </w:p>
        </w:tc>
        <w:tc>
          <w:tcPr>
            <w:tcW w:w="1661" w:type="dxa"/>
          </w:tcPr>
          <w:p w14:paraId="4DADDC80">
            <w:pPr>
              <w:snapToGrid w:val="0"/>
              <w:jc w:val="center"/>
            </w:pPr>
            <w:r>
              <w:t>5.14.4</w:t>
            </w:r>
          </w:p>
        </w:tc>
        <w:tc>
          <w:tcPr>
            <w:tcW w:w="1661" w:type="dxa"/>
          </w:tcPr>
          <w:p w14:paraId="5D813536">
            <w:pPr>
              <w:snapToGrid w:val="0"/>
              <w:jc w:val="center"/>
            </w:pPr>
            <w:r>
              <w:t>EPL-2.0</w:t>
            </w:r>
          </w:p>
        </w:tc>
        <w:tc>
          <w:tcPr>
            <w:tcW w:w="1661" w:type="dxa"/>
          </w:tcPr>
          <w:p w14:paraId="46E48974">
            <w:pPr>
              <w:snapToGrid w:val="0"/>
              <w:jc w:val="center"/>
            </w:pPr>
            <w:r>
              <w:rPr>
                <w:rFonts w:hint="eastAsia"/>
              </w:rPr>
              <w:t>间接</w:t>
            </w:r>
          </w:p>
        </w:tc>
      </w:tr>
      <w:tr w14:paraId="2A474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4FC8693A">
            <w:pPr>
              <w:snapToGrid w:val="0"/>
              <w:jc w:val="center"/>
            </w:pPr>
            <w:r>
              <w:t>8</w:t>
            </w:r>
          </w:p>
        </w:tc>
        <w:tc>
          <w:tcPr>
            <w:tcW w:w="1661" w:type="dxa"/>
          </w:tcPr>
          <w:p w14:paraId="716E636D">
            <w:pPr>
              <w:snapToGrid w:val="0"/>
              <w:jc w:val="center"/>
            </w:pPr>
            <w:r>
              <w:t>org.junit.platform:junit-platform-launcher</w:t>
            </w:r>
          </w:p>
        </w:tc>
        <w:tc>
          <w:tcPr>
            <w:tcW w:w="1661" w:type="dxa"/>
          </w:tcPr>
          <w:p w14:paraId="62AF82E9">
            <w:pPr>
              <w:snapToGrid w:val="0"/>
              <w:jc w:val="center"/>
            </w:pPr>
            <w:r>
              <w:t>1.14.4</w:t>
            </w:r>
          </w:p>
        </w:tc>
        <w:tc>
          <w:tcPr>
            <w:tcW w:w="1661" w:type="dxa"/>
          </w:tcPr>
          <w:p w14:paraId="72B6D509">
            <w:pPr>
              <w:snapToGrid w:val="0"/>
              <w:jc w:val="center"/>
            </w:pPr>
            <w:r>
              <w:t>EPL-2.0</w:t>
            </w:r>
          </w:p>
        </w:tc>
        <w:tc>
          <w:tcPr>
            <w:tcW w:w="1661" w:type="dxa"/>
          </w:tcPr>
          <w:p w14:paraId="7B266503">
            <w:pPr>
              <w:snapToGrid w:val="0"/>
              <w:jc w:val="center"/>
            </w:pPr>
            <w:r>
              <w:rPr>
                <w:rFonts w:hint="eastAsia"/>
              </w:rPr>
              <w:t>间接</w:t>
            </w:r>
          </w:p>
        </w:tc>
      </w:tr>
      <w:tr w14:paraId="36AF5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6401110D">
            <w:pPr>
              <w:snapToGrid w:val="0"/>
              <w:jc w:val="center"/>
            </w:pPr>
            <w:r>
              <w:t>9</w:t>
            </w:r>
          </w:p>
        </w:tc>
        <w:tc>
          <w:tcPr>
            <w:tcW w:w="1661" w:type="dxa"/>
          </w:tcPr>
          <w:p w14:paraId="76B3A475">
            <w:pPr>
              <w:snapToGrid w:val="0"/>
              <w:jc w:val="center"/>
            </w:pPr>
            <w:r>
              <w:t>org.mockito:mockito-core</w:t>
            </w:r>
          </w:p>
        </w:tc>
        <w:tc>
          <w:tcPr>
            <w:tcW w:w="1661" w:type="dxa"/>
          </w:tcPr>
          <w:p w14:paraId="677AC7F9">
            <w:pPr>
              <w:snapToGrid w:val="0"/>
              <w:jc w:val="center"/>
            </w:pPr>
            <w:r>
              <w:t>4.11.0</w:t>
            </w:r>
          </w:p>
        </w:tc>
        <w:tc>
          <w:tcPr>
            <w:tcW w:w="1661" w:type="dxa"/>
          </w:tcPr>
          <w:p w14:paraId="0E658E4E">
            <w:pPr>
              <w:snapToGrid w:val="0"/>
              <w:jc w:val="center"/>
            </w:pPr>
            <w:r>
              <w:t>MIT</w:t>
            </w:r>
          </w:p>
        </w:tc>
        <w:tc>
          <w:tcPr>
            <w:tcW w:w="1661" w:type="dxa"/>
          </w:tcPr>
          <w:p w14:paraId="7748104D">
            <w:pPr>
              <w:snapToGrid w:val="0"/>
              <w:jc w:val="center"/>
            </w:pPr>
            <w:r>
              <w:rPr>
                <w:rFonts w:hint="eastAsia"/>
              </w:rPr>
              <w:t>间接</w:t>
            </w:r>
          </w:p>
        </w:tc>
      </w:tr>
      <w:tr w14:paraId="62239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E4E46D4">
            <w:pPr>
              <w:snapToGrid w:val="0"/>
              <w:jc w:val="center"/>
            </w:pPr>
            <w:r>
              <w:t>10</w:t>
            </w:r>
          </w:p>
        </w:tc>
        <w:tc>
          <w:tcPr>
            <w:tcW w:w="1661" w:type="dxa"/>
          </w:tcPr>
          <w:p w14:paraId="4E74E07D">
            <w:pPr>
              <w:snapToGrid w:val="0"/>
              <w:jc w:val="center"/>
            </w:pPr>
            <w:r>
              <w:t>org.opentest4j:opentest4j</w:t>
            </w:r>
          </w:p>
        </w:tc>
        <w:tc>
          <w:tcPr>
            <w:tcW w:w="1661" w:type="dxa"/>
          </w:tcPr>
          <w:p w14:paraId="12FD6080">
            <w:pPr>
              <w:snapToGrid w:val="0"/>
              <w:jc w:val="center"/>
            </w:pPr>
            <w:r>
              <w:t>1.3.0</w:t>
            </w:r>
          </w:p>
        </w:tc>
        <w:tc>
          <w:tcPr>
            <w:tcW w:w="1661" w:type="dxa"/>
          </w:tcPr>
          <w:p w14:paraId="0C5AAB92">
            <w:pPr>
              <w:snapToGrid w:val="0"/>
              <w:jc w:val="center"/>
            </w:pPr>
            <w:r>
              <w:t>Apache-2.0</w:t>
            </w:r>
          </w:p>
        </w:tc>
        <w:tc>
          <w:tcPr>
            <w:tcW w:w="1661" w:type="dxa"/>
          </w:tcPr>
          <w:p w14:paraId="7502EB98">
            <w:pPr>
              <w:snapToGrid w:val="0"/>
              <w:jc w:val="center"/>
            </w:pPr>
            <w:r>
              <w:rPr>
                <w:rFonts w:hint="eastAsia"/>
              </w:rPr>
              <w:t>间接</w:t>
            </w:r>
          </w:p>
        </w:tc>
      </w:tr>
      <w:tr w14:paraId="27B44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1C136220">
            <w:pPr>
              <w:snapToGrid w:val="0"/>
              <w:jc w:val="center"/>
            </w:pPr>
            <w:r>
              <w:t>11</w:t>
            </w:r>
          </w:p>
        </w:tc>
        <w:tc>
          <w:tcPr>
            <w:tcW w:w="1661" w:type="dxa"/>
          </w:tcPr>
          <w:p w14:paraId="20F64122">
            <w:pPr>
              <w:snapToGrid w:val="0"/>
              <w:jc w:val="center"/>
            </w:pPr>
            <w:r>
              <w:t>org.junit.platform:junit-platform-commons</w:t>
            </w:r>
          </w:p>
        </w:tc>
        <w:tc>
          <w:tcPr>
            <w:tcW w:w="1661" w:type="dxa"/>
          </w:tcPr>
          <w:p w14:paraId="11072F36">
            <w:pPr>
              <w:snapToGrid w:val="0"/>
              <w:jc w:val="center"/>
            </w:pPr>
            <w:r>
              <w:t>1.14.4</w:t>
            </w:r>
          </w:p>
        </w:tc>
        <w:tc>
          <w:tcPr>
            <w:tcW w:w="1661" w:type="dxa"/>
          </w:tcPr>
          <w:p w14:paraId="213ED784">
            <w:pPr>
              <w:snapToGrid w:val="0"/>
              <w:jc w:val="center"/>
            </w:pPr>
            <w:r>
              <w:t>EPL-2.0</w:t>
            </w:r>
          </w:p>
        </w:tc>
        <w:tc>
          <w:tcPr>
            <w:tcW w:w="1661" w:type="dxa"/>
          </w:tcPr>
          <w:p w14:paraId="2A5E4782">
            <w:pPr>
              <w:snapToGrid w:val="0"/>
              <w:jc w:val="center"/>
            </w:pPr>
            <w:r>
              <w:rPr>
                <w:rFonts w:hint="eastAsia"/>
              </w:rPr>
              <w:t>间接</w:t>
            </w:r>
          </w:p>
        </w:tc>
      </w:tr>
      <w:tr w14:paraId="4C809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3125FC1F">
            <w:pPr>
              <w:snapToGrid w:val="0"/>
              <w:jc w:val="center"/>
            </w:pPr>
            <w:r>
              <w:t>12</w:t>
            </w:r>
          </w:p>
        </w:tc>
        <w:tc>
          <w:tcPr>
            <w:tcW w:w="1661" w:type="dxa"/>
          </w:tcPr>
          <w:p w14:paraId="17F2E85C">
            <w:pPr>
              <w:snapToGrid w:val="0"/>
              <w:jc w:val="center"/>
            </w:pPr>
            <w:r>
              <w:t>org.apiguardian:apiguardian-api</w:t>
            </w:r>
          </w:p>
        </w:tc>
        <w:tc>
          <w:tcPr>
            <w:tcW w:w="1661" w:type="dxa"/>
          </w:tcPr>
          <w:p w14:paraId="7B7138CA">
            <w:pPr>
              <w:snapToGrid w:val="0"/>
              <w:jc w:val="center"/>
            </w:pPr>
            <w:r>
              <w:t>1.1.2</w:t>
            </w:r>
          </w:p>
        </w:tc>
        <w:tc>
          <w:tcPr>
            <w:tcW w:w="1661" w:type="dxa"/>
          </w:tcPr>
          <w:p w14:paraId="54012267">
            <w:pPr>
              <w:snapToGrid w:val="0"/>
              <w:jc w:val="center"/>
            </w:pPr>
            <w:r>
              <w:t>Apache-2.0</w:t>
            </w:r>
          </w:p>
        </w:tc>
        <w:tc>
          <w:tcPr>
            <w:tcW w:w="1661" w:type="dxa"/>
          </w:tcPr>
          <w:p w14:paraId="5CFCB3A1">
            <w:pPr>
              <w:snapToGrid w:val="0"/>
              <w:jc w:val="center"/>
            </w:pPr>
            <w:r>
              <w:rPr>
                <w:rFonts w:hint="eastAsia"/>
              </w:rPr>
              <w:t>间接</w:t>
            </w:r>
          </w:p>
        </w:tc>
      </w:tr>
      <w:tr w14:paraId="19819F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64172BEA">
            <w:pPr>
              <w:snapToGrid w:val="0"/>
              <w:jc w:val="center"/>
            </w:pPr>
            <w:r>
              <w:t>13</w:t>
            </w:r>
          </w:p>
        </w:tc>
        <w:tc>
          <w:tcPr>
            <w:tcW w:w="1661" w:type="dxa"/>
          </w:tcPr>
          <w:p w14:paraId="6B335D5E">
            <w:pPr>
              <w:snapToGrid w:val="0"/>
              <w:jc w:val="center"/>
            </w:pPr>
            <w:r>
              <w:t>org.junit.platform:junit-platform-engine</w:t>
            </w:r>
          </w:p>
        </w:tc>
        <w:tc>
          <w:tcPr>
            <w:tcW w:w="1661" w:type="dxa"/>
          </w:tcPr>
          <w:p w14:paraId="5AEA5ED2">
            <w:pPr>
              <w:snapToGrid w:val="0"/>
              <w:jc w:val="center"/>
            </w:pPr>
            <w:r>
              <w:t>1.14.4</w:t>
            </w:r>
          </w:p>
        </w:tc>
        <w:tc>
          <w:tcPr>
            <w:tcW w:w="1661" w:type="dxa"/>
          </w:tcPr>
          <w:p w14:paraId="6AF4B740">
            <w:pPr>
              <w:snapToGrid w:val="0"/>
              <w:jc w:val="center"/>
            </w:pPr>
            <w:r>
              <w:t>EPL-2.0</w:t>
            </w:r>
          </w:p>
        </w:tc>
        <w:tc>
          <w:tcPr>
            <w:tcW w:w="1661" w:type="dxa"/>
          </w:tcPr>
          <w:p w14:paraId="559167DA">
            <w:pPr>
              <w:snapToGrid w:val="0"/>
              <w:jc w:val="center"/>
            </w:pPr>
            <w:r>
              <w:rPr>
                <w:rFonts w:hint="eastAsia"/>
              </w:rPr>
              <w:t>间接</w:t>
            </w:r>
          </w:p>
        </w:tc>
      </w:tr>
      <w:tr w14:paraId="47ED1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7A81EFB2">
            <w:pPr>
              <w:snapToGrid w:val="0"/>
              <w:jc w:val="center"/>
            </w:pPr>
            <w:r>
              <w:t>14</w:t>
            </w:r>
          </w:p>
        </w:tc>
        <w:tc>
          <w:tcPr>
            <w:tcW w:w="1661" w:type="dxa"/>
          </w:tcPr>
          <w:p w14:paraId="33FCE983">
            <w:pPr>
              <w:snapToGrid w:val="0"/>
              <w:jc w:val="center"/>
            </w:pPr>
            <w:r>
              <w:t>net.bytebuddy:byte-buddy-agent</w:t>
            </w:r>
          </w:p>
        </w:tc>
        <w:tc>
          <w:tcPr>
            <w:tcW w:w="1661" w:type="dxa"/>
          </w:tcPr>
          <w:p w14:paraId="43F5D00C">
            <w:pPr>
              <w:snapToGrid w:val="0"/>
              <w:jc w:val="center"/>
            </w:pPr>
            <w:r>
              <w:t>1.12.19</w:t>
            </w:r>
          </w:p>
        </w:tc>
        <w:tc>
          <w:tcPr>
            <w:tcW w:w="1661" w:type="dxa"/>
          </w:tcPr>
          <w:p w14:paraId="68ED9AFC">
            <w:pPr>
              <w:snapToGrid w:val="0"/>
              <w:jc w:val="center"/>
            </w:pPr>
            <w:r>
              <w:rPr>
                <w:rFonts w:hint="eastAsia"/>
              </w:rPr>
              <w:t>未识别</w:t>
            </w:r>
          </w:p>
        </w:tc>
        <w:tc>
          <w:tcPr>
            <w:tcW w:w="1661" w:type="dxa"/>
          </w:tcPr>
          <w:p w14:paraId="53C838BA">
            <w:pPr>
              <w:snapToGrid w:val="0"/>
              <w:jc w:val="center"/>
            </w:pPr>
            <w:r>
              <w:rPr>
                <w:rFonts w:hint="eastAsia"/>
              </w:rPr>
              <w:t>间接</w:t>
            </w:r>
          </w:p>
        </w:tc>
      </w:tr>
    </w:tbl>
    <w:p w14:paraId="5523AB3C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3.3　许可证类型分布统计</w:t>
      </w:r>
    </w:p>
    <w:p w14:paraId="1B7831C5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对表 2 按许可证类型汇总，结果见表 3。其中 EPL-2.0 数量最多，为 8 个（占 57.1%）；MIT 与 Apache-2.0 各 2 个；另有 2 个组件的许可证未被工具识别。</w:t>
      </w:r>
    </w:p>
    <w:p w14:paraId="304872DE">
      <w:pPr>
        <w:snapToGrid w:val="0"/>
        <w:jc w:val="center"/>
      </w:pPr>
      <w:r>
        <w:rPr>
          <w:rFonts w:hint="eastAsia"/>
          <w:b/>
          <w:bCs/>
        </w:rPr>
        <w:t>表 3　许可证类型分布统计</w:t>
      </w:r>
    </w:p>
    <w:tbl>
      <w:tblPr>
        <w:tblStyle w:val="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9"/>
        <w:gridCol w:w="2065"/>
        <w:gridCol w:w="2067"/>
        <w:gridCol w:w="2095"/>
      </w:tblGrid>
      <w:tr w14:paraId="5279D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04C8122B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许可证类型</w:t>
            </w:r>
          </w:p>
        </w:tc>
        <w:tc>
          <w:tcPr>
            <w:tcW w:w="2076" w:type="dxa"/>
          </w:tcPr>
          <w:p w14:paraId="4B073B16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组件数量</w:t>
            </w:r>
          </w:p>
        </w:tc>
        <w:tc>
          <w:tcPr>
            <w:tcW w:w="2076" w:type="dxa"/>
          </w:tcPr>
          <w:p w14:paraId="3227DB14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占比</w:t>
            </w:r>
          </w:p>
        </w:tc>
        <w:tc>
          <w:tcPr>
            <w:tcW w:w="2076" w:type="dxa"/>
          </w:tcPr>
          <w:p w14:paraId="79664A03">
            <w:pPr>
              <w:snapToGrid w:val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代表组件</w:t>
            </w:r>
          </w:p>
        </w:tc>
      </w:tr>
      <w:tr w14:paraId="7A8A4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16B6631F">
            <w:pPr>
              <w:snapToGrid w:val="0"/>
              <w:jc w:val="center"/>
            </w:pPr>
            <w:r>
              <w:t>EPL-2.0</w:t>
            </w:r>
          </w:p>
        </w:tc>
        <w:tc>
          <w:tcPr>
            <w:tcW w:w="2076" w:type="dxa"/>
          </w:tcPr>
          <w:p w14:paraId="707110F1">
            <w:pPr>
              <w:snapToGrid w:val="0"/>
              <w:jc w:val="center"/>
            </w:pPr>
            <w:r>
              <w:t>8</w:t>
            </w:r>
          </w:p>
        </w:tc>
        <w:tc>
          <w:tcPr>
            <w:tcW w:w="2076" w:type="dxa"/>
          </w:tcPr>
          <w:p w14:paraId="44F17064">
            <w:pPr>
              <w:snapToGrid w:val="0"/>
              <w:jc w:val="center"/>
            </w:pPr>
            <w:r>
              <w:t>57.1%</w:t>
            </w:r>
          </w:p>
        </w:tc>
        <w:tc>
          <w:tcPr>
            <w:tcW w:w="2076" w:type="dxa"/>
          </w:tcPr>
          <w:p w14:paraId="40AD87B6">
            <w:pPr>
              <w:snapToGrid w:val="0"/>
              <w:jc w:val="center"/>
            </w:pPr>
            <w:r>
              <w:rPr>
                <w:rFonts w:hint="eastAsia"/>
              </w:rPr>
              <w:t>junit-jupiter、junit-platform-commons</w:t>
            </w:r>
          </w:p>
        </w:tc>
      </w:tr>
      <w:tr w14:paraId="10327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75D57A1">
            <w:pPr>
              <w:snapToGrid w:val="0"/>
              <w:jc w:val="center"/>
            </w:pPr>
            <w:r>
              <w:t>MIT</w:t>
            </w:r>
          </w:p>
        </w:tc>
        <w:tc>
          <w:tcPr>
            <w:tcW w:w="2076" w:type="dxa"/>
          </w:tcPr>
          <w:p w14:paraId="5086CF23">
            <w:pPr>
              <w:snapToGrid w:val="0"/>
              <w:jc w:val="center"/>
            </w:pPr>
            <w:r>
              <w:t>2</w:t>
            </w:r>
          </w:p>
        </w:tc>
        <w:tc>
          <w:tcPr>
            <w:tcW w:w="2076" w:type="dxa"/>
          </w:tcPr>
          <w:p w14:paraId="250F46BE">
            <w:pPr>
              <w:snapToGrid w:val="0"/>
              <w:jc w:val="center"/>
            </w:pPr>
            <w:r>
              <w:t>14.3%</w:t>
            </w:r>
          </w:p>
        </w:tc>
        <w:tc>
          <w:tcPr>
            <w:tcW w:w="2076" w:type="dxa"/>
          </w:tcPr>
          <w:p w14:paraId="10C82D7A">
            <w:pPr>
              <w:snapToGrid w:val="0"/>
              <w:jc w:val="center"/>
            </w:pPr>
            <w:r>
              <w:rPr>
                <w:rFonts w:hint="eastAsia"/>
              </w:rPr>
              <w:t>mockito-inline、mockito-core</w:t>
            </w:r>
          </w:p>
        </w:tc>
      </w:tr>
      <w:tr w14:paraId="192159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80340B2">
            <w:pPr>
              <w:snapToGrid w:val="0"/>
              <w:jc w:val="center"/>
            </w:pPr>
            <w:r>
              <w:t>Apache-2.0</w:t>
            </w:r>
          </w:p>
        </w:tc>
        <w:tc>
          <w:tcPr>
            <w:tcW w:w="2076" w:type="dxa"/>
          </w:tcPr>
          <w:p w14:paraId="76AA3373">
            <w:pPr>
              <w:snapToGrid w:val="0"/>
              <w:jc w:val="center"/>
            </w:pPr>
            <w:r>
              <w:t>2</w:t>
            </w:r>
          </w:p>
        </w:tc>
        <w:tc>
          <w:tcPr>
            <w:tcW w:w="2076" w:type="dxa"/>
          </w:tcPr>
          <w:p w14:paraId="5A2A73C7">
            <w:pPr>
              <w:snapToGrid w:val="0"/>
              <w:jc w:val="center"/>
            </w:pPr>
            <w:r>
              <w:t>14.3%</w:t>
            </w:r>
          </w:p>
        </w:tc>
        <w:tc>
          <w:tcPr>
            <w:tcW w:w="2076" w:type="dxa"/>
          </w:tcPr>
          <w:p w14:paraId="1426EA18">
            <w:pPr>
              <w:snapToGrid w:val="0"/>
              <w:jc w:val="center"/>
            </w:pPr>
            <w:r>
              <w:rPr>
                <w:rFonts w:hint="eastAsia"/>
              </w:rPr>
              <w:t>opentest4j、apiguardian-api</w:t>
            </w:r>
          </w:p>
        </w:tc>
      </w:tr>
      <w:tr w14:paraId="047EC6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59971DF7">
            <w:pPr>
              <w:snapToGrid w:val="0"/>
              <w:jc w:val="center"/>
            </w:pPr>
            <w:r>
              <w:rPr>
                <w:rFonts w:hint="eastAsia"/>
              </w:rPr>
              <w:t>未识别</w:t>
            </w:r>
          </w:p>
        </w:tc>
        <w:tc>
          <w:tcPr>
            <w:tcW w:w="2076" w:type="dxa"/>
          </w:tcPr>
          <w:p w14:paraId="242F9596">
            <w:pPr>
              <w:snapToGrid w:val="0"/>
              <w:jc w:val="center"/>
            </w:pPr>
            <w:r>
              <w:t>2</w:t>
            </w:r>
          </w:p>
        </w:tc>
        <w:tc>
          <w:tcPr>
            <w:tcW w:w="2076" w:type="dxa"/>
          </w:tcPr>
          <w:p w14:paraId="0B948E00">
            <w:pPr>
              <w:snapToGrid w:val="0"/>
              <w:jc w:val="center"/>
            </w:pPr>
            <w:r>
              <w:t>14.3%</w:t>
            </w:r>
          </w:p>
        </w:tc>
        <w:tc>
          <w:tcPr>
            <w:tcW w:w="2076" w:type="dxa"/>
          </w:tcPr>
          <w:p w14:paraId="5583F8C9">
            <w:pPr>
              <w:snapToGrid w:val="0"/>
              <w:jc w:val="center"/>
            </w:pPr>
            <w:r>
              <w:rPr>
                <w:rFonts w:hint="eastAsia"/>
              </w:rPr>
              <w:t>commons-lang3（根组件）、byte-buddy-agent</w:t>
            </w:r>
          </w:p>
        </w:tc>
      </w:tr>
      <w:tr w14:paraId="05CD8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7CEC7EC0">
            <w:pPr>
              <w:snapToGrid w:val="0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2076" w:type="dxa"/>
          </w:tcPr>
          <w:p w14:paraId="65930159">
            <w:pPr>
              <w:snapToGrid w:val="0"/>
              <w:jc w:val="center"/>
            </w:pPr>
            <w:r>
              <w:t>14</w:t>
            </w:r>
          </w:p>
        </w:tc>
        <w:tc>
          <w:tcPr>
            <w:tcW w:w="2076" w:type="dxa"/>
          </w:tcPr>
          <w:p w14:paraId="2EB86DB0">
            <w:pPr>
              <w:snapToGrid w:val="0"/>
              <w:jc w:val="center"/>
            </w:pPr>
            <w:r>
              <w:t>100%</w:t>
            </w:r>
          </w:p>
        </w:tc>
        <w:tc>
          <w:tcPr>
            <w:tcW w:w="2076" w:type="dxa"/>
          </w:tcPr>
          <w:p w14:paraId="75E549D4">
            <w:pPr>
              <w:snapToGrid w:val="0"/>
              <w:jc w:val="center"/>
            </w:pPr>
            <w:r>
              <w:t>—</w:t>
            </w:r>
          </w:p>
        </w:tc>
      </w:tr>
    </w:tbl>
    <w:p w14:paraId="23332220">
      <w:pPr>
        <w:widowControl/>
        <w:snapToGrid w:val="0"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</w:p>
    <w:p w14:paraId="7FEEBDB0">
      <w:pPr>
        <w:snapToGrid w:val="0"/>
        <w:jc w:val="left"/>
      </w:pPr>
      <w:r>
        <w:rPr>
          <w:rFonts w:hint="eastAsia" w:ascii="仿宋_GB2312" w:hAnsi="宋体" w:eastAsia="仿宋_GB2312" w:cs="仿宋_GB2312"/>
          <w:b/>
          <w:bCs/>
          <w:sz w:val="24"/>
          <w:szCs w:val="24"/>
        </w:rPr>
        <w:t>4、检测报告的详细分析</w:t>
      </w:r>
    </w:p>
    <w:p w14:paraId="4CC82B05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4.1　项目自身许可证合规状况</w:t>
      </w:r>
    </w:p>
    <w:p w14:paraId="3DF8586F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commons-lang3 主项目采用 Apache-2.0 许可证，源码根目录同时提供 LICENSE.txt 与 NOTICE.txt，pom.xml 亦通过父 POM 继承了完整的许可证声明，符合 Apache 基金会的发布规范，合规基线良好。值得注意的是，OpenSCA 报告中 commons-lang3 作为被扫描的根组件，其许可证字段为空，说明该工具只识别被扫描项目的第三方依赖、不对扫描目标本身做许可证识别，这一空缺需要人工补齐。</w:t>
      </w:r>
    </w:p>
    <w:p w14:paraId="3506A236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4.2　许可证兼容性分析</w:t>
      </w:r>
    </w:p>
    <w:p w14:paraId="66AC76AD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检出的许可证共三类，均为宽松或弱 Copyleft 许可证，未出现 GPL、AGPL、LGPL 等强 Copyleft 许可证，整体兼容性风险较低。逐类分析如下。</w:t>
      </w:r>
    </w:p>
    <w:p w14:paraId="2BAA3CD8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（1）MIT（2 个）：最宽松的许可证之一，仅要求保留版权与许可声明，与主项目 Apache-2.0 完全兼容，无风险。</w:t>
      </w:r>
    </w:p>
    <w:p w14:paraId="0CDCE5ED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（2）Apache-2.0（2 个）：与主项目同源，兼容性最佳，且包含明确的专利授权条款，无风险。</w:t>
      </w:r>
    </w:p>
    <w:p w14:paraId="0A485710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（3）EPL-2.0（8 个）：Eclipse Public License 2.0 属弱 Copyleft 许可证。其附件明确允许与 Apache-2.0 组合使用，因此与主项目兼容；但若将 EPL 组件修改后以目标代码形式分发，需按 EPL-2.0 提供对应源码的获取途径并保留声明。这是本项目唯一需要重点关注的许可证义务。</w:t>
      </w:r>
    </w:p>
    <w:p w14:paraId="2AB5C4F4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4.3　依赖作用域对合规义务的影响</w:t>
      </w:r>
    </w:p>
    <w:p w14:paraId="7D9421BF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进一步核查 pom.xml 发现，commons-lang3 声明的 7 个直接依赖（junit-jupiter、junit-pioneer、easymock、mockito-inline、commons-text、jmh-core、jmh-generator-annprocess）全部为 test 作用域，仅用于单元测试与基准测试，不会进入最终发布的 jar 制品；OpenSCA 检出的 14 个组件也均属 JUnit、Mockito、ByteBuddy 等测试类依赖。由于 Apache-2.0、MIT、EPL-2.0 的分发义务均以"分发"行为为触发条件，而这些组件不会随制品分发，因此本项目实际的对外合规义务极低。这也说明：合规风险分析必须结合依赖作用域判断，仅凭组件清单容易高估风险。</w:t>
      </w:r>
    </w:p>
    <w:p w14:paraId="14F3E0D9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4.4　工具检出结果的局限</w:t>
      </w:r>
    </w:p>
    <w:p w14:paraId="3EB0A2B9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（1）许可证识别存在遗漏：byte-buddy-agent 实际采用 Apache-2.0，但工具未能识别，需人工复核后补录；（2）漏洞数据缺失：因未配置漏洞库，报告漏洞统计为 0，无法进行许可证与漏洞的联合风险评估；（3）报告细节不完整：组件名在表格中被截断显示（如 org.apache.commons...），Size 字段显示为"--"，需结合 JSON、SPDX 等其他导出格式交叉核实。</w:t>
      </w:r>
    </w:p>
    <w:p w14:paraId="0D37CC18">
      <w:pPr>
        <w:snapToGrid w:val="0"/>
        <w:spacing w:before="60" w:after="60" w:line="300" w:lineRule="auto"/>
        <w:jc w:val="left"/>
      </w:pPr>
      <w:r>
        <w:rPr>
          <w:rFonts w:hint="eastAsia"/>
          <w:b/>
          <w:bCs/>
        </w:rPr>
        <w:t>4.5　合规改进建议</w:t>
      </w:r>
    </w:p>
    <w:p w14:paraId="3B2352E0">
      <w:pPr>
        <w:snapToGrid w:val="0"/>
        <w:spacing w:line="300" w:lineRule="auto"/>
        <w:ind w:firstLine="420" w:firstLineChars="200"/>
        <w:jc w:val="both"/>
      </w:pPr>
      <w:r>
        <w:rPr>
          <w:rFonts w:hint="eastAsia"/>
        </w:rPr>
        <w:t>（1）建立 SBOM 清单：将 OpenSCA 导出的 SPDX/CycloneDX 结果纳入版本管理，作为项目第三方组件的合规基线；（2）人工复核未识别项：对工具未识别许可证的组件（本例 2 个）逐一核对源码文件头与 pom 声明，避免"未报出即合规"的误判；（3）配置漏洞库：在 config.json 中配置云端 token，实现许可证合规与安全漏洞的一体化检测；（4）纳入 CI 流水线：将 OpenSCA 扫描嵌入持续集成流程，在依赖变更时自动生成增量报告；（5）落实 Apache-2.0 义务：对外发布时随制品保留 LICENSE 与 NOTICE 文件，并对修改过的文件按 Apache-2.0 第 4(b) 条做出标注；（6）区分依赖作用域：对 compile 作用域依赖执行完整合规审查，对 test 作用域依赖做轻量级记录，避免合规成本错配。</w:t>
      </w:r>
    </w:p>
    <w:p w14:paraId="6B1DC66A">
      <w:pPr>
        <w:widowControl/>
        <w:snapToGrid w:val="0"/>
        <w:jc w:val="left"/>
        <w:rPr>
          <w:rFonts w:ascii="仿宋_GB2312" w:hAnsi="宋体" w:eastAsia="仿宋_GB2312" w:cs="仿宋_GB2312"/>
          <w:b/>
          <w:bCs/>
          <w:sz w:val="24"/>
          <w:szCs w:val="24"/>
        </w:r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02479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</w:rPr>
              <w:t>得分</w:t>
            </w:r>
          </w:p>
        </w:tc>
      </w:tr>
      <w:tr w14:paraId="7A393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3C03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017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7B598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5BAAF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39FB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8CD2D81"/>
    <w:rsid w:val="0C620734"/>
    <w:rsid w:val="12FD788F"/>
    <w:rsid w:val="1A101EFF"/>
    <w:rsid w:val="1AB55DD4"/>
    <w:rsid w:val="1C787CA6"/>
    <w:rsid w:val="23E65FFA"/>
    <w:rsid w:val="2996630C"/>
    <w:rsid w:val="32FB6306"/>
    <w:rsid w:val="36034403"/>
    <w:rsid w:val="38DD575A"/>
    <w:rsid w:val="3BDF39ED"/>
    <w:rsid w:val="3D775432"/>
    <w:rsid w:val="3DC56D68"/>
    <w:rsid w:val="4013200C"/>
    <w:rsid w:val="47351CE1"/>
    <w:rsid w:val="4C987DD0"/>
    <w:rsid w:val="522E2CD6"/>
    <w:rsid w:val="57E66E63"/>
    <w:rsid w:val="5D4A7018"/>
    <w:rsid w:val="60CA19D8"/>
    <w:rsid w:val="628C1A7E"/>
    <w:rsid w:val="665D5E75"/>
    <w:rsid w:val="6D2E4BAB"/>
    <w:rsid w:val="71E75D3D"/>
    <w:rsid w:val="720A1066"/>
    <w:rsid w:val="76D4359C"/>
    <w:rsid w:val="7E5F5E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13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List Paragraph1"/>
    <w:basedOn w:val="1"/>
    <w:qFormat/>
    <w:uiPriority w:val="99"/>
    <w:pPr>
      <w:ind w:firstLine="420" w:firstLineChars="200"/>
    </w:p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103</Words>
  <Characters>144</Characters>
  <TotalTime>4</TotalTime>
  <ScaleCrop>false</ScaleCrop>
  <LinksUpToDate>false</LinksUpToDate>
  <CharactersWithSpaces>187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2026-10-09T19:38:00Z</dcterms:created>
  <dc:creator>caizhengyun</dc:creator>
  <cp:lastModifiedBy>蔡征芸</cp:lastModifiedBy>
  <dcterms:modified xsi:type="dcterms:W3CDTF">2026-10-09T11:54:11Z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eyJoZGlkIjoiNDMyOTY4ZGQxMjdjZDBiNzYxMmRlMDMwN2EzOTQ3YWMiLCJ1c2VySWQiOiIxNzMxOTc3ODk4In0=</vt:lpwstr>
  </property>
  <property fmtid="{D5CDD505-2E9C-101B-9397-08002B2CF9AE}" pid="3" name="KSOProductBuildVer">
    <vt:lpwstr>2052-12.1.0.29161</vt:lpwstr>
  </property>
  <property fmtid="{D5CDD505-2E9C-101B-9397-08002B2CF9AE}" pid="4" name="ICV">
    <vt:lpwstr>C76B9896200647659D225E7D20C3857B_12</vt:lpwstr>
  </property>
</Properties>
</file>