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1750BC">
      <w:pPr>
        <w:rPr>
          <w:rFonts w:ascii="仿宋_GB2312" w:eastAsia="仿宋_GB2312"/>
          <w:b/>
          <w:bCs/>
          <w:sz w:val="72"/>
          <w:szCs w:val="72"/>
        </w:rPr>
      </w:pPr>
      <w:r>
        <w:rPr>
          <w:rFonts w:hint="eastAsia" w:ascii="仿宋_GB2312" w:eastAsia="仿宋_GB2312" w:cs="仿宋_GB2312"/>
          <w:b/>
          <w:bCs/>
          <w:sz w:val="28"/>
          <w:szCs w:val="28"/>
        </w:rPr>
        <w:t>课程编号：</w:t>
      </w:r>
      <w:r>
        <w:rPr>
          <w:rFonts w:hint="eastAsia" w:ascii="仿宋_GB2312" w:eastAsia="仿宋_GB2312" w:cs="仿宋_GB2312"/>
          <w:b/>
          <w:bCs/>
          <w:sz w:val="28"/>
          <w:szCs w:val="28"/>
          <w:lang w:val="en-US" w:eastAsia="zh-CN"/>
        </w:rPr>
        <w:t>403G1013</w:t>
      </w:r>
    </w:p>
    <w:p w14:paraId="7D6D5C7C">
      <w:pPr>
        <w:jc w:val="center"/>
        <w:rPr>
          <w:rFonts w:hint="eastAsia" w:ascii="仿宋_GB2312" w:eastAsia="仿宋_GB2312" w:cs="仿宋_GB2312"/>
          <w:b/>
          <w:bCs/>
          <w:sz w:val="72"/>
          <w:szCs w:val="72"/>
        </w:rPr>
      </w:pPr>
    </w:p>
    <w:p w14:paraId="7DF653E0">
      <w:pPr>
        <w:jc w:val="center"/>
        <w:rPr>
          <w:rFonts w:hint="eastAsia" w:ascii="仿宋_GB2312" w:eastAsia="仿宋_GB2312" w:cs="仿宋_GB2312"/>
          <w:b/>
          <w:bCs/>
          <w:sz w:val="72"/>
          <w:szCs w:val="72"/>
        </w:rPr>
      </w:pPr>
    </w:p>
    <w:p w14:paraId="0F811DC8">
      <w:pPr>
        <w:jc w:val="center"/>
        <w:rPr>
          <w:rFonts w:hint="default" w:ascii="仿宋_GB2312" w:eastAsia="仿宋_GB2312"/>
          <w:b/>
          <w:bCs/>
          <w:sz w:val="72"/>
          <w:szCs w:val="72"/>
          <w:lang w:val="en-US" w:eastAsia="zh-CN"/>
        </w:rPr>
      </w:pPr>
      <w:r>
        <w:rPr>
          <w:rFonts w:hint="eastAsia" w:ascii="仿宋_GB2312" w:eastAsia="仿宋_GB2312" w:cs="仿宋_GB2312"/>
          <w:b/>
          <w:bCs/>
          <w:sz w:val="72"/>
          <w:szCs w:val="72"/>
          <w:lang w:eastAsia="zh-CN"/>
        </w:rPr>
        <w:t>《</w:t>
      </w:r>
      <w:r>
        <w:rPr>
          <w:rFonts w:hint="eastAsia" w:ascii="仿宋_GB2312" w:eastAsia="仿宋_GB2312" w:cs="仿宋_GB2312"/>
          <w:b/>
          <w:bCs/>
          <w:sz w:val="72"/>
          <w:szCs w:val="72"/>
        </w:rPr>
        <w:t>开源</w:t>
      </w:r>
      <w:r>
        <w:rPr>
          <w:rFonts w:hint="eastAsia" w:ascii="仿宋_GB2312" w:eastAsia="仿宋_GB2312" w:cs="仿宋_GB2312"/>
          <w:b/>
          <w:bCs/>
          <w:sz w:val="72"/>
          <w:szCs w:val="72"/>
          <w:lang w:val="en-US" w:eastAsia="zh-CN"/>
        </w:rPr>
        <w:t>创新思维》</w:t>
      </w:r>
    </w:p>
    <w:p w14:paraId="67604145">
      <w:pPr>
        <w:jc w:val="center"/>
        <w:rPr>
          <w:rFonts w:ascii="仿宋_GB2312" w:eastAsia="仿宋_GB2312"/>
          <w:b/>
          <w:bCs/>
          <w:sz w:val="72"/>
          <w:szCs w:val="72"/>
        </w:rPr>
      </w:pPr>
      <w:r>
        <w:rPr>
          <w:rFonts w:hint="eastAsia" w:ascii="仿宋_GB2312" w:eastAsia="仿宋_GB2312" w:cs="仿宋_GB2312"/>
          <w:b/>
          <w:bCs/>
          <w:sz w:val="72"/>
          <w:szCs w:val="72"/>
        </w:rPr>
        <w:t>平时作业报告</w:t>
      </w:r>
    </w:p>
    <w:p w14:paraId="72B4D612">
      <w:pPr>
        <w:jc w:val="center"/>
        <w:rPr>
          <w:rFonts w:ascii="仿宋_GB2312" w:eastAsia="仿宋_GB2312"/>
          <w:b/>
          <w:bCs/>
          <w:sz w:val="52"/>
          <w:szCs w:val="52"/>
        </w:rPr>
      </w:pPr>
    </w:p>
    <w:p w14:paraId="1E8560DC">
      <w:pPr>
        <w:jc w:val="center"/>
        <w:rPr>
          <w:rFonts w:ascii="宋体"/>
          <w:sz w:val="28"/>
          <w:szCs w:val="28"/>
        </w:rPr>
      </w:pPr>
    </w:p>
    <w:p w14:paraId="27E03F4E">
      <w:pPr>
        <w:jc w:val="both"/>
        <w:rPr>
          <w:rFonts w:ascii="宋体"/>
          <w:sz w:val="28"/>
          <w:szCs w:val="28"/>
        </w:rPr>
      </w:pPr>
    </w:p>
    <w:p w14:paraId="0CE85110">
      <w:pPr>
        <w:jc w:val="center"/>
        <w:rPr>
          <w:rFonts w:ascii="宋体"/>
          <w:sz w:val="28"/>
          <w:szCs w:val="28"/>
        </w:rPr>
      </w:pPr>
    </w:p>
    <w:p w14:paraId="1C97CF4E">
      <w:pPr>
        <w:jc w:val="center"/>
        <w:rPr>
          <w:rFonts w:ascii="宋体"/>
          <w:sz w:val="28"/>
          <w:szCs w:val="28"/>
        </w:rPr>
      </w:pPr>
    </w:p>
    <w:p w14:paraId="7DE1962F">
      <w:pPr>
        <w:rPr>
          <w:rFonts w:ascii="仿宋_GB2312" w:eastAsia="仿宋_GB2312"/>
        </w:rPr>
      </w:pPr>
    </w:p>
    <w:p w14:paraId="08818189">
      <w:pPr>
        <w:rPr>
          <w:rFonts w:ascii="仿宋_GB2312" w:eastAsia="仿宋_GB2312"/>
        </w:rPr>
      </w:pPr>
    </w:p>
    <w:p w14:paraId="6B531FE3">
      <w:pPr>
        <w:rPr>
          <w:rFonts w:ascii="仿宋_GB2312" w:eastAsia="仿宋_GB2312"/>
        </w:rPr>
      </w:pPr>
    </w:p>
    <w:p w14:paraId="6EFB2D5D">
      <w:pPr>
        <w:rPr>
          <w:rFonts w:ascii="仿宋_GB2312" w:eastAsia="仿宋_GB2312"/>
        </w:rPr>
      </w:pPr>
    </w:p>
    <w:tbl>
      <w:tblPr>
        <w:tblStyle w:val="6"/>
        <w:tblW w:w="79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1"/>
        <w:gridCol w:w="1594"/>
        <w:gridCol w:w="56"/>
        <w:gridCol w:w="2145"/>
        <w:gridCol w:w="2183"/>
      </w:tblGrid>
      <w:tr w14:paraId="04EF7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35084A30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姓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    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名</w:t>
            </w:r>
          </w:p>
        </w:tc>
        <w:tc>
          <w:tcPr>
            <w:tcW w:w="1594" w:type="dxa"/>
            <w:vAlign w:val="center"/>
          </w:tcPr>
          <w:p w14:paraId="58378378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蔡征芸</w:t>
            </w:r>
          </w:p>
        </w:tc>
        <w:tc>
          <w:tcPr>
            <w:tcW w:w="2201" w:type="dxa"/>
            <w:gridSpan w:val="2"/>
            <w:vAlign w:val="center"/>
          </w:tcPr>
          <w:p w14:paraId="616522A3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30"/>
                <w:kern w:val="0"/>
                <w:sz w:val="24"/>
                <w:szCs w:val="24"/>
              </w:rPr>
              <w:t>学</w:t>
            </w:r>
            <w:r>
              <w:rPr>
                <w:rFonts w:ascii="仿宋" w:hAnsi="仿宋" w:eastAsia="仿宋" w:cs="仿宋"/>
                <w:b/>
                <w:bCs/>
                <w:spacing w:val="30"/>
                <w:kern w:val="0"/>
                <w:sz w:val="24"/>
                <w:szCs w:val="24"/>
              </w:rPr>
              <w:t xml:space="preserve">       </w:t>
            </w:r>
            <w:r>
              <w:rPr>
                <w:rFonts w:hint="eastAsia" w:ascii="仿宋" w:hAnsi="仿宋" w:eastAsia="仿宋" w:cs="仿宋"/>
                <w:b/>
                <w:bCs/>
                <w:spacing w:val="45"/>
                <w:kern w:val="0"/>
                <w:sz w:val="24"/>
                <w:szCs w:val="24"/>
              </w:rPr>
              <w:t>号</w:t>
            </w:r>
          </w:p>
        </w:tc>
        <w:tc>
          <w:tcPr>
            <w:tcW w:w="2183" w:type="dxa"/>
            <w:vAlign w:val="center"/>
          </w:tcPr>
          <w:p w14:paraId="5AD5726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f25016201</w:t>
            </w:r>
          </w:p>
        </w:tc>
      </w:tr>
      <w:tr w14:paraId="66C5B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719C5919">
            <w:pPr>
              <w:wordWrap w:val="0"/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班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    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级</w:t>
            </w:r>
          </w:p>
        </w:tc>
        <w:tc>
          <w:tcPr>
            <w:tcW w:w="1594" w:type="dxa"/>
            <w:vAlign w:val="center"/>
          </w:tcPr>
          <w:p w14:paraId="5929E79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F250117</w:t>
            </w:r>
          </w:p>
        </w:tc>
        <w:tc>
          <w:tcPr>
            <w:tcW w:w="2201" w:type="dxa"/>
            <w:gridSpan w:val="2"/>
            <w:vAlign w:val="center"/>
          </w:tcPr>
          <w:p w14:paraId="71B3CC3B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指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导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教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1"/>
                <w:kern w:val="0"/>
                <w:sz w:val="24"/>
                <w:szCs w:val="24"/>
              </w:rPr>
              <w:t>师</w:t>
            </w:r>
          </w:p>
        </w:tc>
        <w:tc>
          <w:tcPr>
            <w:tcW w:w="2183" w:type="dxa"/>
            <w:vAlign w:val="center"/>
          </w:tcPr>
          <w:p w14:paraId="19AEECF8"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祝欣蓉</w:t>
            </w:r>
          </w:p>
        </w:tc>
      </w:tr>
      <w:tr w14:paraId="42BD8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961" w:type="dxa"/>
            <w:vAlign w:val="center"/>
          </w:tcPr>
          <w:p w14:paraId="49391E54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开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设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学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期</w:t>
            </w:r>
          </w:p>
        </w:tc>
        <w:tc>
          <w:tcPr>
            <w:tcW w:w="5978" w:type="dxa"/>
            <w:gridSpan w:val="4"/>
            <w:vAlign w:val="center"/>
          </w:tcPr>
          <w:p w14:paraId="2F4D4785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20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  <w:lang w:val="en-US" w:eastAsia="zh-CN"/>
              </w:rPr>
              <w:t>26</w:t>
            </w:r>
            <w:r>
              <w:rPr>
                <w:rFonts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-20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  <w:lang w:val="en-US" w:eastAsia="zh-CN"/>
              </w:rPr>
              <w:t>27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秋季学</w:t>
            </w:r>
            <w:r>
              <w:rPr>
                <w:rFonts w:hint="eastAsia" w:ascii="仿宋" w:hAnsi="仿宋" w:eastAsia="仿宋" w:cs="仿宋"/>
                <w:b/>
                <w:bCs/>
                <w:spacing w:val="0"/>
                <w:kern w:val="0"/>
                <w:sz w:val="24"/>
                <w:szCs w:val="24"/>
                <w:fitText w:val="2892" w:id="1715366501"/>
              </w:rPr>
              <w:t>期</w:t>
            </w:r>
          </w:p>
        </w:tc>
      </w:tr>
      <w:tr w14:paraId="3CAFD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7CBDA2F8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开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设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时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间</w:t>
            </w:r>
          </w:p>
        </w:tc>
        <w:tc>
          <w:tcPr>
            <w:tcW w:w="5978" w:type="dxa"/>
            <w:gridSpan w:val="4"/>
            <w:vAlign w:val="center"/>
          </w:tcPr>
          <w:p w14:paraId="1221FB3C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第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周</w:t>
            </w:r>
            <w:r>
              <w:rPr>
                <w:rFonts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——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第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  <w:lang w:val="en-US" w:eastAsia="zh-CN"/>
              </w:rPr>
              <w:t>16</w:t>
            </w:r>
            <w:r>
              <w:rPr>
                <w:rFonts w:hint="eastAsia" w:ascii="仿宋" w:hAnsi="仿宋" w:eastAsia="仿宋" w:cs="仿宋"/>
                <w:b/>
                <w:bCs/>
                <w:spacing w:val="3"/>
                <w:kern w:val="0"/>
                <w:sz w:val="24"/>
                <w:szCs w:val="24"/>
                <w:fitText w:val="2892" w:id="1"/>
              </w:rPr>
              <w:t>周</w:t>
            </w:r>
          </w:p>
        </w:tc>
      </w:tr>
      <w:tr w14:paraId="51E73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961" w:type="dxa"/>
            <w:vAlign w:val="center"/>
          </w:tcPr>
          <w:p w14:paraId="4127BB84">
            <w:pPr>
              <w:wordWrap w:val="0"/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报告日期</w:t>
            </w:r>
          </w:p>
        </w:tc>
        <w:tc>
          <w:tcPr>
            <w:tcW w:w="5978" w:type="dxa"/>
            <w:gridSpan w:val="4"/>
            <w:vAlign w:val="center"/>
          </w:tcPr>
          <w:p w14:paraId="31BBA16A">
            <w:pPr>
              <w:jc w:val="center"/>
            </w:pPr>
            <w:r>
              <w:rPr>
                <w:rFonts w:ascii="Times New Roman" w:hAnsi="Times New Roman" w:eastAsia="仿宋_GB2312"/>
                <w:b w:val="0"/>
                <w:color w:val="000000"/>
                <w:sz w:val="24"/>
              </w:rPr>
              <w:t>2026年10月29日</w:t>
            </w:r>
          </w:p>
        </w:tc>
      </w:tr>
      <w:tr w14:paraId="4D61B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  <w:jc w:val="center"/>
        </w:trPr>
        <w:tc>
          <w:tcPr>
            <w:tcW w:w="1961" w:type="dxa"/>
            <w:vMerge w:val="restart"/>
            <w:vAlign w:val="center"/>
          </w:tcPr>
          <w:p w14:paraId="2E95CE6D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评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定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成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绩</w:t>
            </w:r>
          </w:p>
        </w:tc>
        <w:tc>
          <w:tcPr>
            <w:tcW w:w="1650" w:type="dxa"/>
            <w:gridSpan w:val="2"/>
            <w:vMerge w:val="restart"/>
            <w:vAlign w:val="center"/>
          </w:tcPr>
          <w:p w14:paraId="441CE6CB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23CEC041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302"/>
                <w:kern w:val="0"/>
                <w:sz w:val="24"/>
                <w:szCs w:val="24"/>
                <w:fitText w:val="1928" w:id="2"/>
              </w:rPr>
              <w:t>评定</w:t>
            </w:r>
            <w:r>
              <w:rPr>
                <w:rFonts w:hint="eastAsia" w:ascii="仿宋" w:hAnsi="仿宋" w:eastAsia="仿宋" w:cs="仿宋"/>
                <w:b/>
                <w:bCs/>
                <w:spacing w:val="0"/>
                <w:kern w:val="0"/>
                <w:sz w:val="24"/>
                <w:szCs w:val="24"/>
                <w:fitText w:val="1928" w:id="2"/>
              </w:rPr>
              <w:t>人</w:t>
            </w:r>
          </w:p>
        </w:tc>
        <w:tc>
          <w:tcPr>
            <w:tcW w:w="2183" w:type="dxa"/>
            <w:vAlign w:val="center"/>
          </w:tcPr>
          <w:p w14:paraId="4DB25488"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祝欣蓉</w:t>
            </w:r>
          </w:p>
        </w:tc>
      </w:tr>
      <w:tr w14:paraId="48668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  <w:jc w:val="center"/>
        </w:trPr>
        <w:tc>
          <w:tcPr>
            <w:tcW w:w="1961" w:type="dxa"/>
            <w:vMerge w:val="continue"/>
            <w:vAlign w:val="center"/>
          </w:tcPr>
          <w:p w14:paraId="383DB938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1650" w:type="dxa"/>
            <w:gridSpan w:val="2"/>
            <w:vMerge w:val="continue"/>
            <w:vAlign w:val="center"/>
          </w:tcPr>
          <w:p w14:paraId="32F758F6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561C9102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评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定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日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4"/>
                <w:kern w:val="0"/>
                <w:sz w:val="24"/>
                <w:szCs w:val="24"/>
                <w:fitText w:val="1928" w:id="3"/>
              </w:rPr>
              <w:t>期</w:t>
            </w:r>
          </w:p>
        </w:tc>
        <w:tc>
          <w:tcPr>
            <w:tcW w:w="2183" w:type="dxa"/>
            <w:vAlign w:val="center"/>
          </w:tcPr>
          <w:p w14:paraId="20F3EA0C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</w:tr>
    </w:tbl>
    <w:p w14:paraId="29237BB0">
      <w:pPr>
        <w:spacing w:before="0" w:after="40" w:line="300" w:lineRule="auto"/>
        <w:jc w:val="center"/>
        <w:rPr>
          <w:rFonts w:ascii="Times New Roman" w:hAnsi="Times New Roman" w:eastAsia="仿宋_GB2312"/>
          <w:b/>
          <w:color w:val="000000"/>
          <w:sz w:val="24"/>
        </w:rPr>
      </w:pPr>
      <w:r>
        <w:rPr>
          <w:rFonts w:hint="eastAsia" w:ascii="仿宋_GB2312" w:hAnsi="宋体" w:eastAsia="仿宋_GB2312" w:cs="仿宋_GB2312"/>
          <w:b/>
          <w:bCs/>
          <w:sz w:val="28"/>
          <w:szCs w:val="28"/>
          <w:lang w:val="en-US" w:eastAsia="zh-CN"/>
        </w:rPr>
        <w:t>上海杉达学院</w:t>
      </w:r>
    </w:p>
    <w:p w14:paraId="1D6F8EE0">
      <w:pPr>
        <w:spacing w:before="0" w:after="40" w:line="300" w:lineRule="auto"/>
        <w:rPr>
          <w:rFonts w:ascii="Times New Roman" w:hAnsi="Times New Roman" w:eastAsia="仿宋_GB2312"/>
          <w:b/>
          <w:color w:val="000000"/>
          <w:sz w:val="24"/>
        </w:rPr>
      </w:pPr>
    </w:p>
    <w:p w14:paraId="61D7FEA2">
      <w:pPr>
        <w:spacing w:before="0" w:after="40" w:line="300" w:lineRule="auto"/>
        <w:rPr>
          <w:rFonts w:ascii="Times New Roman" w:hAnsi="Times New Roman" w:eastAsia="仿宋_GB2312"/>
          <w:b/>
          <w:color w:val="000000"/>
          <w:sz w:val="24"/>
        </w:rPr>
      </w:pPr>
    </w:p>
    <w:p w14:paraId="646F5F5E">
      <w:pPr>
        <w:spacing w:before="0" w:after="40" w:line="300" w:lineRule="auto"/>
      </w:pPr>
      <w:r>
        <w:rPr>
          <w:rFonts w:ascii="Times New Roman" w:hAnsi="Times New Roman" w:eastAsia="仿宋_GB2312"/>
          <w:b/>
          <w:color w:val="000000"/>
          <w:sz w:val="24"/>
        </w:rPr>
        <w:t>1、开源项目介绍</w:t>
      </w:r>
    </w:p>
    <w:p w14:paraId="4F36D7D0">
      <w:pPr>
        <w:spacing w:before="60" w:after="20" w:line="300" w:lineRule="auto"/>
      </w:pPr>
      <w:r>
        <w:rPr>
          <w:rFonts w:ascii="Times New Roman" w:hAnsi="Times New Roman" w:eastAsia="宋体"/>
          <w:b/>
          <w:color w:val="000000"/>
          <w:sz w:val="21"/>
        </w:rPr>
        <w:t>1.1 项目概况</w:t>
      </w:r>
    </w:p>
    <w:p w14:paraId="327E6024">
      <w:pPr>
        <w:spacing w:before="0" w:after="0" w:line="30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本次作业选取 Apache 软件基金会 Commons 子项目的 Apache Commons Text（Maven 坐标 org.apache.commons:commons-text:1.12.0，2024 年 4 月发布）作为被审计的开源项目。该项目 2014 年自 Commons Lang 的文本处理模块拆分而来，提供字符串插值（StringSubstitutor）、文本相似度（Jaro-Winkler、Levenshtein 等）、字符串转义、最长公共子序列、文本差分等通用算法，是 Java 生态中使用广泛的底层类库。</w:t>
      </w:r>
    </w:p>
    <w:p w14:paraId="481785AF">
      <w:pPr>
        <w:spacing w:before="0" w:after="0" w:line="30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对官方源码发布包的统计：共 242 个文件，其中 Java 源文件 201 个（main 107 个、test 94 个），约 5.2万 行代码；其余为 pom.xml、文档、CI 配置及少量测试资源文件。</w:t>
      </w:r>
    </w:p>
    <w:p w14:paraId="49C880B9">
      <w:pPr>
        <w:spacing w:before="60" w:after="20" w:line="300" w:lineRule="auto"/>
      </w:pPr>
      <w:r>
        <w:rPr>
          <w:rFonts w:ascii="Times New Roman" w:hAnsi="Times New Roman" w:eastAsia="宋体"/>
          <w:b/>
          <w:color w:val="000000"/>
          <w:sz w:val="21"/>
        </w:rPr>
        <w:t>1.2 发布物的许可证构成</w:t>
      </w:r>
    </w:p>
    <w:p w14:paraId="6B302C5E">
      <w:pPr>
        <w:spacing w:before="0" w:after="0" w:line="30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该项目的合规声明符合 ASF 标准发布要求：根目录 LICENSE.txt 为 Apache License 2.0 全文；NOTICE.txt 声明“Apache Commons Text，Copyright 2014-2024 The Apache Software Foundation”；pom.xml 中的 &lt;license&gt; 元数据与上述声明一致。运行时依赖仅 commons-lang3 3.14.0（同为 Apache-2.0）；另声明 junit、mockito 等 8 个 test 作用域依赖，不随发布物分发。</w:t>
      </w:r>
    </w:p>
    <w:p w14:paraId="173945F1">
      <w:pPr>
        <w:spacing w:before="60" w:after="20" w:line="300" w:lineRule="auto"/>
      </w:pPr>
      <w:r>
        <w:rPr>
          <w:rFonts w:ascii="Times New Roman" w:hAnsi="Times New Roman" w:eastAsia="宋体"/>
          <w:b/>
          <w:color w:val="000000"/>
          <w:sz w:val="21"/>
        </w:rPr>
        <w:t>1.3 选取理由</w:t>
      </w:r>
    </w:p>
    <w:p w14:paraId="612FE747">
      <w:pPr>
        <w:spacing w:before="0" w:after="0" w:line="30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一是治理规范：ASF 发布物必须附带 LICENSE 与 NOTICE 文件，且项目用 Apache Rat 做发布审计门禁，便于将工具结果与项目自身声明逐条对照；二是文件类型多样，可检验工具对非代码文件的判定能力；三是规模适中，242 个文件可全部人工复核，符合“自动扫描＋人工确认”的合规方法论。</w:t>
      </w:r>
    </w:p>
    <w:p w14:paraId="17866889">
      <w:pPr>
        <w:spacing w:before="80" w:after="40" w:line="300" w:lineRule="auto"/>
      </w:pPr>
      <w:r>
        <w:rPr>
          <w:rFonts w:ascii="Times New Roman" w:hAnsi="Times New Roman" w:eastAsia="仿宋_GB2312"/>
          <w:b/>
          <w:color w:val="000000"/>
          <w:sz w:val="24"/>
        </w:rPr>
        <w:t>2、许可证合规工具的选型与安装</w:t>
      </w:r>
    </w:p>
    <w:p w14:paraId="32231C66">
      <w:pPr>
        <w:spacing w:before="60" w:after="20" w:line="300" w:lineRule="auto"/>
      </w:pPr>
      <w:r>
        <w:rPr>
          <w:rFonts w:ascii="Times New Roman" w:hAnsi="Times New Roman" w:eastAsia="宋体"/>
          <w:b/>
          <w:color w:val="000000"/>
          <w:sz w:val="21"/>
        </w:rPr>
        <w:t>2.1 选型过程与依据</w:t>
      </w:r>
    </w:p>
    <w:p w14:paraId="52E1238B">
      <w:pPr>
        <w:spacing w:before="0" w:after="0" w:line="30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按照《33 款开源软件许可合规工具选型手册》的“选型三步法”：本次要解决的问题是“对源码目录做许可证、版权与包依赖识别”，属于源码扫描引擎范畴；被审对象是 Java 源码加测试资源的普通源码树；扫描环境为 Windows 11 个人电脑（无 JDK/Maven，不宜部署服务端）。据此对候选工具逐条对比（表 1），最终选定 ScanCode Toolkit 32.5.0。</w:t>
      </w:r>
    </w:p>
    <w:p w14:paraId="293B76FC">
      <w:pPr>
        <w:spacing w:before="80" w:after="40" w:line="300" w:lineRule="auto"/>
        <w:jc w:val="center"/>
      </w:pPr>
      <w:r>
        <w:rPr>
          <w:rFonts w:ascii="Times New Roman" w:hAnsi="Times New Roman" w:eastAsia="宋体"/>
          <w:b/>
          <w:color w:val="000000"/>
          <w:sz w:val="18"/>
        </w:rPr>
        <w:t>表 1  候选工具选型对比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05613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74" w:type="dxa"/>
          </w:tcPr>
          <w:p w14:paraId="6EF23422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工具</w:t>
            </w:r>
          </w:p>
        </w:tc>
        <w:tc>
          <w:tcPr>
            <w:tcW w:w="1077" w:type="dxa"/>
          </w:tcPr>
          <w:p w14:paraId="72C07D9B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许可证</w:t>
            </w:r>
          </w:p>
        </w:tc>
        <w:tc>
          <w:tcPr>
            <w:tcW w:w="2778" w:type="dxa"/>
          </w:tcPr>
          <w:p w14:paraId="6EFB2D9A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与本项目匹配的优点</w:t>
            </w:r>
          </w:p>
        </w:tc>
        <w:tc>
          <w:tcPr>
            <w:tcW w:w="2891" w:type="dxa"/>
          </w:tcPr>
          <w:p w14:paraId="48F8EB99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选型结论</w:t>
            </w:r>
          </w:p>
        </w:tc>
      </w:tr>
      <w:tr w14:paraId="30A18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021BC064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ScanCode Toolkit</w:t>
            </w:r>
          </w:p>
        </w:tc>
        <w:tc>
          <w:tcPr>
            <w:tcW w:w="1077" w:type="dxa"/>
          </w:tcPr>
          <w:p w14:paraId="740C85C7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Apache-2.0</w:t>
            </w:r>
          </w:p>
        </w:tc>
        <w:tc>
          <w:tcPr>
            <w:tcW w:w="2778" w:type="dxa"/>
          </w:tcPr>
          <w:p w14:paraId="78D357C0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许可证/版权/包/依赖识别准确；输出 JSON/HTML/CSV/SPDX；手册评为首选</w:t>
            </w:r>
          </w:p>
        </w:tc>
        <w:tc>
          <w:tcPr>
            <w:tcW w:w="2891" w:type="dxa"/>
          </w:tcPr>
          <w:p w14:paraId="161B78A7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选定：个人电脑即可运行</w:t>
            </w:r>
          </w:p>
        </w:tc>
      </w:tr>
      <w:tr w14:paraId="60042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3220B7B4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Apache Rat</w:t>
            </w:r>
          </w:p>
        </w:tc>
        <w:tc>
          <w:tcPr>
            <w:tcW w:w="1077" w:type="dxa"/>
          </w:tcPr>
          <w:p w14:paraId="754CDB0F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Apache-2.0</w:t>
            </w:r>
          </w:p>
        </w:tc>
        <w:tc>
          <w:tcPr>
            <w:tcW w:w="2778" w:type="dxa"/>
          </w:tcPr>
          <w:p w14:paraId="651C4C15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Maven/Ant 插件查许可证头</w:t>
            </w:r>
          </w:p>
        </w:tc>
        <w:tc>
          <w:tcPr>
            <w:tcW w:w="2891" w:type="dxa"/>
          </w:tcPr>
          <w:p w14:paraId="2726DCBC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不选：本机无 JDK/Maven；仅查许可证头</w:t>
            </w:r>
          </w:p>
        </w:tc>
      </w:tr>
      <w:tr w14:paraId="3F2C3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3ECB7D20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Fossology / FOSSLight</w:t>
            </w:r>
          </w:p>
        </w:tc>
        <w:tc>
          <w:tcPr>
            <w:tcW w:w="1077" w:type="dxa"/>
          </w:tcPr>
          <w:p w14:paraId="7EF09675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GPL-2.0 / AGPL-3.0</w:t>
            </w:r>
          </w:p>
        </w:tc>
        <w:tc>
          <w:tcPr>
            <w:tcW w:w="2778" w:type="dxa"/>
          </w:tcPr>
          <w:p w14:paraId="53CC34DE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Web 平台、多引擎</w:t>
            </w:r>
          </w:p>
        </w:tc>
        <w:tc>
          <w:tcPr>
            <w:tcW w:w="2891" w:type="dxa"/>
          </w:tcPr>
          <w:p w14:paraId="424EA8B1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不选：需服务端数据库，部署过重</w:t>
            </w:r>
          </w:p>
        </w:tc>
      </w:tr>
      <w:tr w14:paraId="62865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2FAEF422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ORT / Licensee.js 等</w:t>
            </w:r>
          </w:p>
        </w:tc>
        <w:tc>
          <w:tcPr>
            <w:tcW w:w="1077" w:type="dxa"/>
          </w:tcPr>
          <w:p w14:paraId="5C180E72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Apache-2.0 / MIT</w:t>
            </w:r>
          </w:p>
        </w:tc>
        <w:tc>
          <w:tcPr>
            <w:tcW w:w="2778" w:type="dxa"/>
          </w:tcPr>
          <w:p w14:paraId="18D86CE5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端到端流水线；npm 依赖检查</w:t>
            </w:r>
          </w:p>
        </w:tc>
        <w:tc>
          <w:tcPr>
            <w:tcW w:w="2891" w:type="dxa"/>
          </w:tcPr>
          <w:p w14:paraId="67A14921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不选：ORT 需联网下载全部依赖；npm 类仅适用 npm 生态</w:t>
            </w:r>
          </w:p>
        </w:tc>
      </w:tr>
    </w:tbl>
    <w:p w14:paraId="7B1EBB55">
      <w:pPr>
        <w:spacing w:before="60" w:after="20" w:line="300" w:lineRule="auto"/>
      </w:pPr>
      <w:r>
        <w:rPr>
          <w:rFonts w:ascii="Times New Roman" w:hAnsi="Times New Roman" w:eastAsia="宋体"/>
          <w:b/>
          <w:color w:val="000000"/>
          <w:sz w:val="21"/>
        </w:rPr>
        <w:t>2.2 安装过程</w:t>
      </w:r>
    </w:p>
    <w:p w14:paraId="38389900">
      <w:pPr>
        <w:spacing w:before="0" w:after="0" w:line="30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扫描环境为 Windows 11、Python 3.13.12。为避免污染全局环境，先以 python -m venv .venv-scancode 创建独立虚拟环境，再在其中安装 ScanCode Toolkit 32.5.0，并以 scancode --version 验证可用。ScanCode 为纯 Python 实现，无需数据库或外部服务，首次扫描时自动构建许可证规则索引。安装问题及解决见表 2。</w:t>
      </w:r>
    </w:p>
    <w:p w14:paraId="478BA08C">
      <w:pPr>
        <w:spacing w:before="60" w:after="20" w:line="300" w:lineRule="auto"/>
      </w:pPr>
      <w:r>
        <w:rPr>
          <w:rFonts w:ascii="Times New Roman" w:hAnsi="Times New Roman" w:eastAsia="宋体"/>
          <w:b/>
          <w:color w:val="000000"/>
          <w:sz w:val="21"/>
        </w:rPr>
        <w:t>2.3 安装过程中遇到的问题及解决</w:t>
      </w:r>
    </w:p>
    <w:p w14:paraId="4C960834">
      <w:pPr>
        <w:spacing w:before="80" w:after="40" w:line="300" w:lineRule="auto"/>
        <w:jc w:val="center"/>
      </w:pPr>
      <w:r>
        <w:rPr>
          <w:rFonts w:ascii="Times New Roman" w:hAnsi="Times New Roman" w:eastAsia="宋体"/>
          <w:b/>
          <w:color w:val="000000"/>
          <w:sz w:val="18"/>
        </w:rPr>
        <w:t>表 2  安装问题记录与解决方案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6EE4D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74" w:type="dxa"/>
          </w:tcPr>
          <w:p w14:paraId="3771A538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问题</w:t>
            </w:r>
          </w:p>
        </w:tc>
        <w:tc>
          <w:tcPr>
            <w:tcW w:w="3969" w:type="dxa"/>
          </w:tcPr>
          <w:p w14:paraId="74D29EC4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现象</w:t>
            </w:r>
          </w:p>
        </w:tc>
        <w:tc>
          <w:tcPr>
            <w:tcW w:w="2778" w:type="dxa"/>
          </w:tcPr>
          <w:p w14:paraId="7FA4D4AB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解决</w:t>
            </w:r>
          </w:p>
        </w:tc>
      </w:tr>
      <w:tr w14:paraId="0A840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2D057EF7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国内镜像缺新版包</w:t>
            </w:r>
          </w:p>
        </w:tc>
        <w:tc>
          <w:tcPr>
            <w:tcW w:w="3969" w:type="dxa"/>
          </w:tcPr>
          <w:p w14:paraId="1B3C166C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镜像索引只解析出旧版 sdist，pip 报 No matching distribution</w:t>
            </w:r>
          </w:p>
        </w:tc>
        <w:tc>
          <w:tcPr>
            <w:tcW w:w="2778" w:type="dxa"/>
          </w:tcPr>
          <w:p w14:paraId="104827CD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改用阿里云镜像，定位 32.5.0 cp313 wheel 本地安装</w:t>
            </w:r>
          </w:p>
        </w:tc>
      </w:tr>
      <w:tr w14:paraId="690A0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54E1E8D9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大文件下载反复中断</w:t>
            </w:r>
          </w:p>
        </w:tc>
        <w:tc>
          <w:tcPr>
            <w:tcW w:w="3969" w:type="dxa"/>
          </w:tcPr>
          <w:p w14:paraId="1B937F25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126 MB wheel 下载多次超时/SSL 中断，pip 重试 17 分钟后失败</w:t>
            </w:r>
          </w:p>
        </w:tc>
        <w:tc>
          <w:tcPr>
            <w:tcW w:w="2778" w:type="dxa"/>
          </w:tcPr>
          <w:p w14:paraId="59761DBC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 1 MB 分块、HTTP Range 六线程并发断点下载，zipfile 校验后安装</w:t>
            </w:r>
          </w:p>
        </w:tc>
      </w:tr>
      <w:tr w14:paraId="1B909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0624BF94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插件钩子报错</w:t>
            </w:r>
          </w:p>
        </w:tc>
        <w:tc>
          <w:tcPr>
            <w:tcW w:w="3969" w:type="dxa"/>
          </w:tcPr>
          <w:p w14:paraId="0D61AB44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启动报 did not find any 'pre_scan' hooks</w:t>
            </w:r>
          </w:p>
        </w:tc>
        <w:tc>
          <w:tcPr>
            <w:tcW w:w="2778" w:type="dxa"/>
          </w:tcPr>
          <w:p w14:paraId="4CE9CC37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pluggy 1.7.0 与 plugincode 32.0.0 不兼容，降级 pluggy==1.5.0</w:t>
            </w:r>
          </w:p>
        </w:tc>
      </w:tr>
      <w:tr w14:paraId="6DCED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40DE0AE3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环境隔离与中文乱码</w:t>
            </w:r>
          </w:p>
        </w:tc>
        <w:tc>
          <w:tcPr>
            <w:tcW w:w="3969" w:type="dxa"/>
          </w:tcPr>
          <w:p w14:paraId="61031D9A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全局安装污染系统 Python；控制台 GBK 显示异常</w:t>
            </w:r>
          </w:p>
        </w:tc>
        <w:tc>
          <w:tcPr>
            <w:tcW w:w="2778" w:type="dxa"/>
          </w:tcPr>
          <w:p w14:paraId="356C6341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python -m venv 独立环境；--json-pp 输出 UTF-8 文件</w:t>
            </w:r>
          </w:p>
        </w:tc>
      </w:tr>
    </w:tbl>
    <w:p w14:paraId="542A537B">
      <w:pPr>
        <w:spacing w:before="80" w:after="40" w:line="300" w:lineRule="auto"/>
      </w:pPr>
      <w:r>
        <w:rPr>
          <w:rFonts w:ascii="Times New Roman" w:hAnsi="Times New Roman" w:eastAsia="仿宋_GB2312"/>
          <w:b/>
          <w:color w:val="000000"/>
          <w:sz w:val="24"/>
        </w:rPr>
        <w:t>3、工具输出的检测报告</w:t>
      </w:r>
    </w:p>
    <w:p w14:paraId="62DA0B94">
      <w:pPr>
        <w:spacing w:before="60" w:after="20" w:line="300" w:lineRule="auto"/>
      </w:pPr>
      <w:r>
        <w:rPr>
          <w:rFonts w:ascii="Times New Roman" w:hAnsi="Times New Roman" w:eastAsia="宋体"/>
          <w:b/>
          <w:color w:val="000000"/>
          <w:sz w:val="21"/>
        </w:rPr>
        <w:t>3.1 扫描命令与参数</w:t>
      </w:r>
    </w:p>
    <w:p w14:paraId="2EA1D50D">
      <w:pPr>
        <w:spacing w:before="20" w:after="2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scancode -clpieu -n 4 --json-pp scancode-result.json --html scancode-report.html --csv scancode-summary.csv commons-text-rel-commons-text-1.12.0</w:t>
      </w:r>
    </w:p>
    <w:p w14:paraId="793269DB">
      <w:pPr>
        <w:spacing w:before="0" w:after="0" w:line="30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参数含义：-l 许可证、-c 版权、-p 软件包、-i 文件信息、-e/-u 邮箱与 URL，-n 4 为并行进程数。全部文件扫描耗时约 93.32 秒，同时输出机器可读的 JSON 与人可读的 HTML、CSV 报告。</w:t>
      </w:r>
    </w:p>
    <w:p w14:paraId="0DB9C5BD">
      <w:pPr>
        <w:spacing w:before="60" w:after="20" w:line="300" w:lineRule="auto"/>
      </w:pPr>
      <w:r>
        <w:rPr>
          <w:rFonts w:ascii="Times New Roman" w:hAnsi="Times New Roman" w:eastAsia="宋体"/>
          <w:b/>
          <w:color w:val="000000"/>
          <w:sz w:val="21"/>
        </w:rPr>
        <w:t>3.2 总体结果</w:t>
      </w:r>
    </w:p>
    <w:p w14:paraId="7FD178DA">
      <w:pPr>
        <w:spacing w:before="80" w:after="40" w:line="300" w:lineRule="auto"/>
        <w:jc w:val="center"/>
      </w:pPr>
      <w:r>
        <w:rPr>
          <w:rFonts w:ascii="Times New Roman" w:hAnsi="Times New Roman" w:eastAsia="宋体"/>
          <w:b/>
          <w:color w:val="000000"/>
          <w:sz w:val="18"/>
        </w:rPr>
        <w:t>表 3  扫描总体统计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6C892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969" w:type="dxa"/>
          </w:tcPr>
          <w:p w14:paraId="534C4DDE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统计指标</w:t>
            </w:r>
          </w:p>
        </w:tc>
        <w:tc>
          <w:tcPr>
            <w:tcW w:w="4252" w:type="dxa"/>
          </w:tcPr>
          <w:p w14:paraId="754529E1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结果</w:t>
            </w:r>
          </w:p>
        </w:tc>
      </w:tr>
      <w:tr w14:paraId="1BFD0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</w:tcPr>
          <w:p w14:paraId="3EED6F75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扫描对象</w:t>
            </w:r>
          </w:p>
        </w:tc>
        <w:tc>
          <w:tcPr>
            <w:tcW w:w="4252" w:type="dxa"/>
          </w:tcPr>
          <w:p w14:paraId="08E03D8C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commons-text-1.12.0 源码树（242 个文件、46 个目录，2.15 MB）</w:t>
            </w:r>
          </w:p>
        </w:tc>
      </w:tr>
      <w:tr w14:paraId="28073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</w:tcPr>
          <w:p w14:paraId="7C963F31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检出许可证的文件</w:t>
            </w:r>
          </w:p>
        </w:tc>
        <w:tc>
          <w:tcPr>
            <w:tcW w:w="4252" w:type="dxa"/>
          </w:tcPr>
          <w:p w14:paraId="1B6026D9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237 个（占 98.0%）；未检出 5 个（占 2.0%）</w:t>
            </w:r>
          </w:p>
        </w:tc>
      </w:tr>
      <w:tr w14:paraId="21CB9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</w:tcPr>
          <w:p w14:paraId="738434F6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检出许可证/规则种类</w:t>
            </w:r>
          </w:p>
        </w:tc>
        <w:tc>
          <w:tcPr>
            <w:tcW w:w="4252" w:type="dxa"/>
          </w:tcPr>
          <w:p w14:paraId="39CEDF84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 种（明细见表 4）</w:t>
            </w:r>
          </w:p>
        </w:tc>
      </w:tr>
      <w:tr w14:paraId="22169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</w:tcPr>
          <w:p w14:paraId="0F6A9B9C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版权声明（去重）</w:t>
            </w:r>
          </w:p>
        </w:tc>
        <w:tc>
          <w:tcPr>
            <w:tcW w:w="4252" w:type="dxa"/>
          </w:tcPr>
          <w:p w14:paraId="3E53904C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 条：Copyright 2014-2024 The Apache Software Foundation</w:t>
            </w:r>
          </w:p>
        </w:tc>
      </w:tr>
      <w:tr w14:paraId="60BC9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</w:tcPr>
          <w:p w14:paraId="569E4A7B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检出软件包（purl）</w:t>
            </w:r>
          </w:p>
        </w:tc>
        <w:tc>
          <w:tcPr>
            <w:tcW w:w="4252" w:type="dxa"/>
          </w:tcPr>
          <w:p w14:paraId="60CCDA5E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 个：pkg:maven/org.apache.commons/commons-text@1.12.0</w:t>
            </w:r>
          </w:p>
        </w:tc>
      </w:tr>
      <w:tr w14:paraId="565DF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</w:tcPr>
          <w:p w14:paraId="45E848F5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扫描耗时</w:t>
            </w:r>
          </w:p>
        </w:tc>
        <w:tc>
          <w:tcPr>
            <w:tcW w:w="4252" w:type="dxa"/>
          </w:tcPr>
          <w:p w14:paraId="5A54E0DE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93.32 秒（4 进程并行，约 2.75 文件/秒，0 个错误）</w:t>
            </w:r>
          </w:p>
        </w:tc>
      </w:tr>
    </w:tbl>
    <w:p w14:paraId="2A0CA19E">
      <w:pPr>
        <w:spacing w:before="60" w:after="20" w:line="300" w:lineRule="auto"/>
      </w:pPr>
      <w:r>
        <w:rPr>
          <w:rFonts w:ascii="Times New Roman" w:hAnsi="Times New Roman" w:eastAsia="宋体"/>
          <w:b/>
          <w:color w:val="000000"/>
          <w:sz w:val="21"/>
        </w:rPr>
        <w:t>3.3 许可证检出分布</w:t>
      </w:r>
    </w:p>
    <w:p w14:paraId="2F9861DD">
      <w:pPr>
        <w:spacing w:before="0" w:after="0" w:line="30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按 SPDX 标识符汇总各许可证命中的文件数如表 4（同一文件命中多个规则时分别计数）。</w:t>
      </w:r>
    </w:p>
    <w:p w14:paraId="3EC32857">
      <w:pPr>
        <w:spacing w:before="80" w:after="40" w:line="300" w:lineRule="auto"/>
        <w:jc w:val="center"/>
      </w:pPr>
      <w:r>
        <w:rPr>
          <w:rFonts w:ascii="Times New Roman" w:hAnsi="Times New Roman" w:eastAsia="宋体"/>
          <w:b/>
          <w:color w:val="000000"/>
          <w:sz w:val="18"/>
        </w:rPr>
        <w:t>表 4  许可证检出分布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29531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</w:tcPr>
          <w:p w14:paraId="659A82F3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许可证（SPDX 规则）</w:t>
            </w:r>
          </w:p>
        </w:tc>
        <w:tc>
          <w:tcPr>
            <w:tcW w:w="1361" w:type="dxa"/>
          </w:tcPr>
          <w:p w14:paraId="7935C528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文件数</w:t>
            </w:r>
          </w:p>
        </w:tc>
        <w:tc>
          <w:tcPr>
            <w:tcW w:w="4592" w:type="dxa"/>
          </w:tcPr>
          <w:p w14:paraId="1C367B75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代表文件与说明</w:t>
            </w:r>
          </w:p>
        </w:tc>
      </w:tr>
      <w:tr w14:paraId="72F97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009D3D5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apache-2.0</w:t>
            </w:r>
          </w:p>
        </w:tc>
        <w:tc>
          <w:tcPr>
            <w:tcW w:w="1361" w:type="dxa"/>
          </w:tcPr>
          <w:p w14:paraId="1047B5B6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236</w:t>
            </w:r>
          </w:p>
        </w:tc>
        <w:tc>
          <w:tcPr>
            <w:tcW w:w="4592" w:type="dxa"/>
          </w:tcPr>
          <w:p w14:paraId="2A14DF28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全部 Java 源码、pom.xml、LICENSE.txt、.asf.yaml 等</w:t>
            </w:r>
          </w:p>
        </w:tc>
      </w:tr>
      <w:tr w14:paraId="2C638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2731A92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generic-cla</w:t>
            </w:r>
          </w:p>
        </w:tc>
        <w:tc>
          <w:tcPr>
            <w:tcW w:w="1361" w:type="dxa"/>
          </w:tcPr>
          <w:p w14:paraId="2BAD7D7A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w="4592" w:type="dxa"/>
          </w:tcPr>
          <w:p w14:paraId="673D62BF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README.md、CONTRIBUTING.md：命中“贡献者许可协议（CLA）”通用规则，属声明类文本</w:t>
            </w:r>
          </w:p>
        </w:tc>
      </w:tr>
      <w:tr w14:paraId="4A266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52F30B4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unknown-license-reference</w:t>
            </w:r>
          </w:p>
        </w:tc>
        <w:tc>
          <w:tcPr>
            <w:tcW w:w="1361" w:type="dxa"/>
          </w:tcPr>
          <w:p w14:paraId="2EBDE9D1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w="4592" w:type="dxa"/>
          </w:tcPr>
          <w:p w14:paraId="2814FD16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README.md：提及许可证但未附全文，需人工确认</w:t>
            </w:r>
          </w:p>
        </w:tc>
      </w:tr>
      <w:tr w14:paraId="50F6B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5551BC6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gpl-2.0 等组合表达式</w:t>
            </w:r>
          </w:p>
        </w:tc>
        <w:tc>
          <w:tcPr>
            <w:tcW w:w="1361" w:type="dxa"/>
          </w:tcPr>
          <w:p w14:paraId="526DCC07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w="4592" w:type="dxa"/>
          </w:tcPr>
          <w:p w14:paraId="1C6D471D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lcs-perf-analysis-inputs.csv：测试输入语料，详见 4.2 节</w:t>
            </w:r>
          </w:p>
        </w:tc>
      </w:tr>
    </w:tbl>
    <w:p w14:paraId="5CE1D12F">
      <w:pPr>
        <w:spacing w:before="60" w:after="20" w:line="300" w:lineRule="auto"/>
      </w:pPr>
      <w:r>
        <w:rPr>
          <w:rFonts w:ascii="Times New Roman" w:hAnsi="Times New Roman" w:eastAsia="宋体"/>
          <w:b/>
          <w:color w:val="000000"/>
          <w:sz w:val="21"/>
        </w:rPr>
        <w:t>3.4 未检出许可证的文件</w:t>
      </w:r>
    </w:p>
    <w:p w14:paraId="555903D0">
      <w:pPr>
        <w:spacing w:before="0" w:after="0" w:line="30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共 5 个文件未检出许可证，人工归类为三类：一是项目自身在 pom.xml 的 apache-rat-plugin excludes 中显式豁免的文件（stringEscapeUtilsTestData.txt、download_text.cgi 等）；二是构建与 CI 元数据（.gitignore、.asf.yaml、.github/workflows/*.yml 等）；三是纯二进制资源（.xcf、.png）与代码覆盖率文件。上述文件均非需要许可声明的源代码。</w:t>
      </w:r>
    </w:p>
    <w:p w14:paraId="5B1847EC">
      <w:pPr>
        <w:spacing w:before="80" w:after="40" w:line="300" w:lineRule="auto"/>
      </w:pPr>
      <w:r>
        <w:rPr>
          <w:rFonts w:ascii="Times New Roman" w:hAnsi="Times New Roman" w:eastAsia="仿宋_GB2312"/>
          <w:b/>
          <w:color w:val="000000"/>
          <w:sz w:val="24"/>
        </w:rPr>
        <w:t>4、检测报告详细分析</w:t>
      </w:r>
    </w:p>
    <w:p w14:paraId="2CB183B5">
      <w:pPr>
        <w:spacing w:before="60" w:after="20" w:line="300" w:lineRule="auto"/>
      </w:pPr>
      <w:r>
        <w:rPr>
          <w:rFonts w:ascii="Times New Roman" w:hAnsi="Times New Roman" w:eastAsia="宋体"/>
          <w:b/>
          <w:color w:val="000000"/>
          <w:sz w:val="21"/>
        </w:rPr>
        <w:t>4.1 主许可证判定与声明一致性</w:t>
      </w:r>
    </w:p>
    <w:p w14:paraId="510A7D8E">
      <w:pPr>
        <w:spacing w:before="0" w:after="0" w:line="30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242 个文件中有 236 个检出 apache-2.0（占 97.5%），覆盖全部 201 个 Java 源文件、17 个 XML 文件及全部项目声明文件。工具判定结果与项目自带的三处声明——LICENSE.txt（Apache-2.0 全文）、NOTICE.txt（ASF 版权归属）、pom.xml 的 &lt;license&gt; 元数据——完全一致，未发现“代码实际许可证与项目声明不符”的情形。</w:t>
      </w:r>
    </w:p>
    <w:p w14:paraId="44DF24D0">
      <w:pPr>
        <w:spacing w:before="60" w:after="20" w:line="300" w:lineRule="auto"/>
      </w:pPr>
      <w:r>
        <w:rPr>
          <w:rFonts w:ascii="Times New Roman" w:hAnsi="Times New Roman" w:eastAsia="宋体"/>
          <w:b/>
          <w:color w:val="000000"/>
          <w:sz w:val="21"/>
        </w:rPr>
        <w:t>4.2 GPL-2.0 命中的性质判定</w:t>
      </w:r>
    </w:p>
    <w:p w14:paraId="1BDF6A77">
      <w:pPr>
        <w:spacing w:before="0" w:after="0" w:line="30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最值得关注的是：ScanCode 在 src/test/resources/.../lcs-perf-analysis-inputs.csv 中检出“gpl-1.0-plus AND gpl-2.0 AND classpath-exception-2.0 AND other-copyleft”表达式（命中第 1-2 行，得分 42.11）。人工复核确认：该文件是最长公共子序列性能基准的输入语料，前两行文本恰好复制自 OpenJDK 某源文件的 GPL-2.0 许可头片段，属于“内容里出现了许可文本”，而非“该文件以 GPL 授权”。判定：它不进入编译产物（test 资源不打包），不构成 copyleft 传染，但随源码包分发，建议替换语料或注明来源。这说明基于文本匹配的扫描器无法区分“许可文本巧合”与“真实授权”，印证了手册“误区 3”。</w:t>
      </w:r>
    </w:p>
    <w:p w14:paraId="3280A786">
      <w:pPr>
        <w:spacing w:before="60" w:after="20" w:line="300" w:lineRule="auto"/>
      </w:pPr>
      <w:r>
        <w:rPr>
          <w:rFonts w:ascii="Times New Roman" w:hAnsi="Times New Roman" w:eastAsia="宋体"/>
          <w:b/>
          <w:color w:val="000000"/>
          <w:sz w:val="21"/>
        </w:rPr>
        <w:t>4.3 未检出文件与项目自身 RAT 排除清单的交叉验证</w:t>
      </w:r>
    </w:p>
    <w:p w14:paraId="5B27E285">
      <w:pPr>
        <w:spacing w:before="0" w:after="0" w:line="30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将未检出许可证的文件清单与 pom.xml 中 apache-rat-plugin 的 excludes 配置逐条比对：全部未检出文件要么落在该排除清单内（如 stringEscapeUtilsTestData.txt、download_text.cgi），要么属于 RAT 默认不要求许可头的二进制/统计文件（logo.xcf、logo.png、profile.jacoco）。这说明 ScanCode 的“无许可证”结果与 ASF 自身的发布审计口径一致，未发现应声明而未声明许可的文件。</w:t>
      </w:r>
    </w:p>
    <w:p w14:paraId="5843F0C1">
      <w:pPr>
        <w:spacing w:before="60" w:after="20" w:line="300" w:lineRule="auto"/>
      </w:pPr>
      <w:r>
        <w:rPr>
          <w:rFonts w:ascii="Times New Roman" w:hAnsi="Times New Roman" w:eastAsia="宋体"/>
          <w:b/>
          <w:color w:val="000000"/>
          <w:sz w:val="21"/>
        </w:rPr>
        <w:t>4.4 版权信息集中化对扫描结果的影响</w:t>
      </w:r>
    </w:p>
    <w:p w14:paraId="52767352">
      <w:pPr>
        <w:spacing w:before="0" w:after="0" w:line="30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ScanCode 在全部文件中仅检出 1 条去重后的版权声明，即 NOTICE.txt 中的“Copyright 2014-2024 The Apache Software Foundation”；201 个 Java 文件头部均为 ASF 标准许可头，不含 Copyright 行，版权主体 100% 集中于 ASF。这符合 ASF 集中式版权惯例，但意味着仅依赖逐文件版权扫描生成 NOTICE/致谢文件会低估版权条数，必须与 NOTICE.txt 人工对账。</w:t>
      </w:r>
    </w:p>
    <w:p w14:paraId="251BDB9F">
      <w:pPr>
        <w:spacing w:before="40" w:after="20" w:line="300" w:lineRule="auto"/>
      </w:pPr>
      <w:r>
        <w:rPr>
          <w:rFonts w:ascii="Times New Roman" w:hAnsi="Times New Roman" w:eastAsia="宋体"/>
          <w:b/>
          <w:color w:val="000000"/>
          <w:sz w:val="21"/>
        </w:rPr>
        <w:t>4.5 依赖层面的义务分析</w:t>
      </w:r>
    </w:p>
    <w:p w14:paraId="12E2A29D">
      <w:pPr>
        <w:spacing w:before="0" w:after="0" w:line="30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运行时依赖 commons-lang3 3.14.0 为 Apache-2.0，随 jar 传递分发时义务仅为随附其 LICENSE 与 NOTICE、不将 Apache 商标用于宣传；8 个 test 作用域依赖不进入发布物，不触发任何许可证义务。这印证了手册“误区 1”：义务取决于“是否修改并对外分发”，而非“是否使用了某许可证的组件”；本项目依赖均为宽松许可证，无 copyleft 传染风险。</w:t>
      </w:r>
    </w:p>
    <w:p w14:paraId="3CB9D5C4">
      <w:pPr>
        <w:spacing w:before="60" w:after="20" w:line="300" w:lineRule="auto"/>
      </w:pPr>
      <w:r>
        <w:rPr>
          <w:rFonts w:ascii="Times New Roman" w:hAnsi="Times New Roman" w:eastAsia="宋体"/>
          <w:b/>
          <w:color w:val="000000"/>
          <w:sz w:val="21"/>
        </w:rPr>
        <w:t>4.6 工具误报、漏报与局限性</w:t>
      </w:r>
    </w:p>
    <w:p w14:paraId="042A1F74">
      <w:pPr>
        <w:spacing w:before="0" w:after="0" w:line="30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一是文本巧合误报：lcs-perf-analysis-inputs.csv 得分仅 42.11 仍被报告，审计时应设置阈值并人工复核；二是通用规则的不确定性：generic-cla、unknown-license-reference 均需人工定性；三是统计偏差：对 ASF 集中式版权结构，逐文件版权检出偏少（见 4.4 节）；四是能力边界：工具不判断许可证兼容性、不输出合规义务清单。综上，扫描结果必须人工复核后才能形成合规结论。</w:t>
      </w:r>
    </w:p>
    <w:p w14:paraId="030C1265">
      <w:pPr>
        <w:spacing w:before="80" w:after="40" w:line="300" w:lineRule="auto"/>
        <w:jc w:val="center"/>
      </w:pPr>
      <w:r>
        <w:rPr>
          <w:rFonts w:ascii="Times New Roman" w:hAnsi="Times New Roman" w:eastAsia="宋体"/>
          <w:b/>
          <w:color w:val="000000"/>
          <w:sz w:val="18"/>
        </w:rPr>
        <w:t>表 5  合规风险清单与整改建议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670CC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41" w:type="dxa"/>
          </w:tcPr>
          <w:p w14:paraId="4E7B3C49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风险/发现</w:t>
            </w:r>
          </w:p>
        </w:tc>
        <w:tc>
          <w:tcPr>
            <w:tcW w:w="794" w:type="dxa"/>
          </w:tcPr>
          <w:p w14:paraId="16D5F05A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等级</w:t>
            </w:r>
          </w:p>
        </w:tc>
        <w:tc>
          <w:tcPr>
            <w:tcW w:w="2665" w:type="dxa"/>
          </w:tcPr>
          <w:p w14:paraId="406E3A90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依据</w:t>
            </w:r>
          </w:p>
        </w:tc>
        <w:tc>
          <w:tcPr>
            <w:tcW w:w="2721" w:type="dxa"/>
          </w:tcPr>
          <w:p w14:paraId="0F5B3120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整改建议</w:t>
            </w:r>
          </w:p>
        </w:tc>
      </w:tr>
      <w:tr w14:paraId="0343D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FA42B03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测试数据文件含 GPL-2.0 文本片段</w:t>
            </w:r>
          </w:p>
        </w:tc>
        <w:tc>
          <w:tcPr>
            <w:tcW w:w="794" w:type="dxa"/>
          </w:tcPr>
          <w:p w14:paraId="54131C5D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低</w:t>
            </w:r>
          </w:p>
        </w:tc>
        <w:tc>
          <w:tcPr>
            <w:tcW w:w="2665" w:type="dxa"/>
          </w:tcPr>
          <w:p w14:paraId="685112CA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lcs-perf-analysis-inputs.csv 第 1-2 行命中 GPL 规则（得分 42.11）</w:t>
            </w:r>
          </w:p>
        </w:tc>
        <w:tc>
          <w:tcPr>
            <w:tcW w:w="2721" w:type="dxa"/>
          </w:tcPr>
          <w:p w14:paraId="37A3E7CF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替换语料或注明来源；SBOM 中标注，避免下游审计误判</w:t>
            </w:r>
          </w:p>
        </w:tc>
      </w:tr>
      <w:tr w14:paraId="57645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D4EA86F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源码文件无文件级版权行</w:t>
            </w:r>
          </w:p>
        </w:tc>
        <w:tc>
          <w:tcPr>
            <w:tcW w:w="794" w:type="dxa"/>
          </w:tcPr>
          <w:p w14:paraId="261DDBC0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提示</w:t>
            </w:r>
          </w:p>
        </w:tc>
        <w:tc>
          <w:tcPr>
            <w:tcW w:w="2665" w:type="dxa"/>
          </w:tcPr>
          <w:p w14:paraId="2D511B62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Java 文件头部为 ASF 标准许可头，版权集中于 NOTICE.txt</w:t>
            </w:r>
          </w:p>
        </w:tc>
        <w:tc>
          <w:tcPr>
            <w:tcW w:w="2721" w:type="dxa"/>
          </w:tcPr>
          <w:p w14:paraId="408319DF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随发布物附送 LICENSE 与 NOTICE 即满足 Apache-2.0 第 4 条</w:t>
            </w:r>
          </w:p>
        </w:tc>
      </w:tr>
      <w:tr w14:paraId="3E398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D8B4BA2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 个文件未检出许可证</w:t>
            </w:r>
          </w:p>
        </w:tc>
        <w:tc>
          <w:tcPr>
            <w:tcW w:w="794" w:type="dxa"/>
          </w:tcPr>
          <w:p w14:paraId="77A4294A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提示</w:t>
            </w:r>
          </w:p>
        </w:tc>
        <w:tc>
          <w:tcPr>
            <w:tcW w:w="2665" w:type="dxa"/>
          </w:tcPr>
          <w:p w14:paraId="2797066C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均为 RAT 排除清单内或二进制/统计文件</w:t>
            </w:r>
          </w:p>
        </w:tc>
        <w:tc>
          <w:tcPr>
            <w:tcW w:w="2721" w:type="dxa"/>
          </w:tcPr>
          <w:p w14:paraId="74727DED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维持现状；SBOM 中标记 n/a 并注明豁免依据</w:t>
            </w:r>
          </w:p>
        </w:tc>
      </w:tr>
    </w:tbl>
    <w:p w14:paraId="34467EB7">
      <w:pPr>
        <w:spacing w:before="40" w:after="20" w:line="300" w:lineRule="auto"/>
      </w:pPr>
      <w:r>
        <w:rPr>
          <w:rFonts w:ascii="Times New Roman" w:hAnsi="Times New Roman" w:eastAsia="宋体"/>
          <w:b/>
          <w:color w:val="000000"/>
          <w:sz w:val="21"/>
        </w:rPr>
        <w:t>4.7 结论</w:t>
      </w:r>
    </w:p>
    <w:p w14:paraId="2D7105A9">
      <w:pPr>
        <w:spacing w:before="0" w:after="0" w:line="30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本次扫描表明，Apache Commons Text 1.12.0 许可证合规状态良好：主许可证 Apache-2.0 与项目自带声明完全一致；唯一 GPL-2.0 命中经人工复核确认为测试语料文本巧合，不构成传染。ScanCode 识别准确、报告丰富，适合作为课程级合规审计的主力工具。</w:t>
      </w:r>
    </w:p>
    <w:p w14:paraId="17DB04B1">
      <w:pPr>
        <w:widowControl/>
        <w:jc w:val="left"/>
        <w:rPr>
          <w:rFonts w:hint="eastAsia" w:ascii="仿宋_GB2312" w:hAnsi="宋体" w:eastAsia="仿宋_GB2312" w:cs="仿宋_GB2312"/>
          <w:sz w:val="24"/>
          <w:szCs w:val="24"/>
        </w:rPr>
      </w:pPr>
    </w:p>
    <w:p w14:paraId="30A580FB">
      <w:pPr>
        <w:widowControl/>
        <w:jc w:val="left"/>
        <w:rPr>
          <w:rFonts w:hint="eastAsia" w:ascii="仿宋_GB2312" w:hAnsi="宋体" w:eastAsia="仿宋_GB2312" w:cs="仿宋_GB2312"/>
          <w:sz w:val="24"/>
          <w:szCs w:val="24"/>
        </w:rPr>
      </w:pPr>
      <w:bookmarkStart w:id="0" w:name="_GoBack"/>
      <w:bookmarkEnd w:id="0"/>
    </w:p>
    <w:p w14:paraId="204A7CC9">
      <w:pPr>
        <w:widowControl/>
        <w:jc w:val="left"/>
        <w:rPr>
          <w:rFonts w:hint="eastAsia" w:ascii="仿宋_GB2312" w:hAnsi="宋体" w:eastAsia="仿宋_GB2312" w:cs="仿宋_GB2312"/>
          <w:sz w:val="24"/>
          <w:szCs w:val="24"/>
        </w:rPr>
      </w:pPr>
    </w:p>
    <w:p w14:paraId="38BC7205">
      <w:pPr>
        <w:widowControl/>
        <w:jc w:val="left"/>
        <w:rPr>
          <w:rFonts w:ascii="仿宋_GB2312" w:hAnsi="宋体" w:eastAsia="仿宋_GB2312"/>
          <w:sz w:val="24"/>
          <w:szCs w:val="24"/>
        </w:rPr>
      </w:pPr>
      <w:r>
        <w:rPr>
          <w:rFonts w:hint="eastAsia" w:ascii="仿宋_GB2312" w:hAnsi="宋体" w:eastAsia="仿宋_GB2312" w:cs="仿宋_GB2312"/>
          <w:sz w:val="24"/>
          <w:szCs w:val="24"/>
        </w:rPr>
        <w:t>评价表格：</w:t>
      </w:r>
    </w:p>
    <w:tbl>
      <w:tblPr>
        <w:tblStyle w:val="6"/>
        <w:tblW w:w="8522" w:type="dxa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79"/>
        <w:gridCol w:w="1043"/>
      </w:tblGrid>
      <w:tr w14:paraId="67206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306EF4F9">
            <w:pPr>
              <w:spacing w:line="300" w:lineRule="auto"/>
              <w:jc w:val="center"/>
              <w:rPr>
                <w:rFonts w:ascii="仿宋" w:hAnsi="仿宋" w:eastAsia="仿宋"/>
                <w:b/>
                <w:bCs/>
                <w:kern w:val="0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</w:rPr>
              <w:t>考核标准</w:t>
            </w:r>
          </w:p>
        </w:tc>
        <w:tc>
          <w:tcPr>
            <w:tcW w:w="1043" w:type="dxa"/>
          </w:tcPr>
          <w:p w14:paraId="2BB8AF0D">
            <w:pPr>
              <w:widowControl/>
              <w:jc w:val="center"/>
              <w:rPr>
                <w:rFonts w:ascii="仿宋" w:hAnsi="仿宋" w:eastAsia="仿宋"/>
                <w:b/>
                <w:bCs/>
                <w:kern w:val="0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</w:rPr>
              <w:t>得分</w:t>
            </w:r>
          </w:p>
        </w:tc>
      </w:tr>
      <w:tr w14:paraId="70B67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603E2623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1</w:t>
            </w:r>
            <w:r>
              <w:rPr>
                <w:rFonts w:hint="eastAsia" w:ascii="仿宋" w:hAnsi="仿宋" w:eastAsia="仿宋" w:cs="仿宋"/>
                <w:kern w:val="0"/>
              </w:rPr>
              <w:t>）报告格式规范、语言通顺（</w:t>
            </w:r>
            <w:r>
              <w:rPr>
                <w:rFonts w:ascii="仿宋" w:hAnsi="仿宋" w:eastAsia="仿宋" w:cs="仿宋"/>
                <w:kern w:val="0"/>
              </w:rPr>
              <w:t>10%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4B49FE88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053CC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2407C561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2</w:t>
            </w:r>
            <w:r>
              <w:rPr>
                <w:rFonts w:hint="eastAsia" w:ascii="仿宋" w:hAnsi="仿宋" w:eastAsia="仿宋" w:cs="仿宋"/>
                <w:kern w:val="0"/>
              </w:rPr>
              <w:t>）质量标准分析合理（1</w:t>
            </w:r>
            <w:r>
              <w:rPr>
                <w:rFonts w:ascii="仿宋" w:hAnsi="仿宋" w:eastAsia="仿宋" w:cs="仿宋"/>
                <w:kern w:val="0"/>
              </w:rPr>
              <w:t>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592BED55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345EE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06B4BA6C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3</w:t>
            </w:r>
            <w:r>
              <w:rPr>
                <w:rFonts w:hint="eastAsia" w:ascii="仿宋" w:hAnsi="仿宋" w:eastAsia="仿宋" w:cs="仿宋"/>
                <w:kern w:val="0"/>
              </w:rPr>
              <w:t>）测试方法分析全面、合理（</w:t>
            </w:r>
            <w:r>
              <w:rPr>
                <w:rFonts w:ascii="仿宋" w:hAnsi="仿宋" w:eastAsia="仿宋" w:cs="仿宋"/>
                <w:kern w:val="0"/>
              </w:rPr>
              <w:t>20%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5E606DBE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155A9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37F015F1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4</w:t>
            </w:r>
            <w:r>
              <w:rPr>
                <w:rFonts w:hint="eastAsia" w:ascii="仿宋" w:hAnsi="仿宋" w:eastAsia="仿宋" w:cs="仿宋"/>
                <w:kern w:val="0"/>
              </w:rPr>
              <w:t>）测试风险分析全面、合理（</w:t>
            </w:r>
            <w:r>
              <w:rPr>
                <w:rFonts w:ascii="仿宋" w:hAnsi="仿宋" w:eastAsia="仿宋" w:cs="仿宋"/>
                <w:kern w:val="0"/>
              </w:rPr>
              <w:t>20%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1086904D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182C1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4EEB5B32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5</w:t>
            </w:r>
            <w:r>
              <w:rPr>
                <w:rFonts w:hint="eastAsia" w:ascii="仿宋" w:hAnsi="仿宋" w:eastAsia="仿宋" w:cs="仿宋"/>
                <w:kern w:val="0"/>
              </w:rPr>
              <w:t>）测试总体测试策略全面、合理（3</w:t>
            </w:r>
            <w:r>
              <w:rPr>
                <w:rFonts w:ascii="仿宋" w:hAnsi="仿宋" w:eastAsia="仿宋" w:cs="仿宋"/>
                <w:kern w:val="0"/>
              </w:rPr>
              <w:t>0%</w:t>
            </w:r>
            <w:r>
              <w:rPr>
                <w:rFonts w:hint="eastAsia" w:ascii="仿宋" w:hAnsi="仿宋" w:eastAsia="仿宋" w:cs="仿宋"/>
                <w:kern w:val="0"/>
              </w:rPr>
              <w:t>）</w:t>
            </w:r>
          </w:p>
        </w:tc>
        <w:tc>
          <w:tcPr>
            <w:tcW w:w="1043" w:type="dxa"/>
          </w:tcPr>
          <w:p w14:paraId="36167FA8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49649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6EB43FAF">
            <w:pPr>
              <w:spacing w:line="300" w:lineRule="auto"/>
              <w:rPr>
                <w:rFonts w:ascii="仿宋" w:hAnsi="仿宋" w:eastAsia="仿宋" w:cs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（6）测试充分性判断标准合理（10%）</w:t>
            </w:r>
          </w:p>
        </w:tc>
        <w:tc>
          <w:tcPr>
            <w:tcW w:w="1043" w:type="dxa"/>
          </w:tcPr>
          <w:p w14:paraId="13FC1955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</w:tbl>
    <w:p w14:paraId="32DAE905">
      <w:pPr>
        <w:widowControl/>
        <w:jc w:val="left"/>
        <w:rPr>
          <w:rFonts w:ascii="仿宋_GB2312" w:hAnsi="宋体" w:eastAsia="仿宋_GB2312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1"/>
  <w:bordersDoNotSurroundFooter w:val="1"/>
  <w:documentProtection w:enforcement="0"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FF7"/>
    <w:rsid w:val="00004924"/>
    <w:rsid w:val="0004082D"/>
    <w:rsid w:val="00122EF6"/>
    <w:rsid w:val="001B25B7"/>
    <w:rsid w:val="00210F7B"/>
    <w:rsid w:val="002A68D5"/>
    <w:rsid w:val="002B1E36"/>
    <w:rsid w:val="002E6DAA"/>
    <w:rsid w:val="00300C0D"/>
    <w:rsid w:val="0031225C"/>
    <w:rsid w:val="00327EE0"/>
    <w:rsid w:val="003939A9"/>
    <w:rsid w:val="003D5142"/>
    <w:rsid w:val="004C0520"/>
    <w:rsid w:val="00543D41"/>
    <w:rsid w:val="0056650E"/>
    <w:rsid w:val="006271D4"/>
    <w:rsid w:val="00652FF7"/>
    <w:rsid w:val="00670E8A"/>
    <w:rsid w:val="00777921"/>
    <w:rsid w:val="00780EF2"/>
    <w:rsid w:val="007B2FC0"/>
    <w:rsid w:val="007B59F3"/>
    <w:rsid w:val="007E21F6"/>
    <w:rsid w:val="007E763B"/>
    <w:rsid w:val="007F5A3E"/>
    <w:rsid w:val="008E5344"/>
    <w:rsid w:val="00911CFD"/>
    <w:rsid w:val="00956CF2"/>
    <w:rsid w:val="00A15A10"/>
    <w:rsid w:val="00A4464A"/>
    <w:rsid w:val="00AB32CB"/>
    <w:rsid w:val="00AE7B1B"/>
    <w:rsid w:val="00BB2BBC"/>
    <w:rsid w:val="00BC35C9"/>
    <w:rsid w:val="00BE2E5F"/>
    <w:rsid w:val="00C70D3A"/>
    <w:rsid w:val="00C85277"/>
    <w:rsid w:val="00D02F64"/>
    <w:rsid w:val="00DF1951"/>
    <w:rsid w:val="00DF2C02"/>
    <w:rsid w:val="00E12444"/>
    <w:rsid w:val="00E749A8"/>
    <w:rsid w:val="00E85B11"/>
    <w:rsid w:val="00E911C2"/>
    <w:rsid w:val="00F61227"/>
    <w:rsid w:val="00F93499"/>
    <w:rsid w:val="00F95DEC"/>
    <w:rsid w:val="00FE3EF8"/>
    <w:rsid w:val="05F15D1D"/>
    <w:rsid w:val="0695635D"/>
    <w:rsid w:val="0C620734"/>
    <w:rsid w:val="0F267E91"/>
    <w:rsid w:val="12FD788F"/>
    <w:rsid w:val="1A101EFF"/>
    <w:rsid w:val="1AB55DD4"/>
    <w:rsid w:val="1C787CA6"/>
    <w:rsid w:val="23E65FFA"/>
    <w:rsid w:val="32FB6306"/>
    <w:rsid w:val="36034403"/>
    <w:rsid w:val="38DD575A"/>
    <w:rsid w:val="3BDF39ED"/>
    <w:rsid w:val="3D775432"/>
    <w:rsid w:val="47351CE1"/>
    <w:rsid w:val="4C987DD0"/>
    <w:rsid w:val="60CA19D8"/>
    <w:rsid w:val="665D5E75"/>
    <w:rsid w:val="6D2E4BAB"/>
    <w:rsid w:val="71E75D3D"/>
    <w:rsid w:val="720A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nhideWhenUsed="0" w:uiPriority="99" w:semiHidden="0" w:name="heading 3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3"/>
    <w:basedOn w:val="1"/>
    <w:next w:val="1"/>
    <w:link w:val="9"/>
    <w:qFormat/>
    <w:uiPriority w:val="9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0"/>
    <w:semiHidden/>
    <w:qFormat/>
    <w:uiPriority w:val="99"/>
    <w:rPr>
      <w:sz w:val="18"/>
      <w:szCs w:val="18"/>
    </w:rPr>
  </w:style>
  <w:style w:type="paragraph" w:styleId="4">
    <w:name w:val="footer"/>
    <w:basedOn w:val="1"/>
    <w:link w:val="1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3 字符"/>
    <w:link w:val="2"/>
    <w:semiHidden/>
    <w:qFormat/>
    <w:locked/>
    <w:uiPriority w:val="99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0">
    <w:name w:val="批注框文本 字符"/>
    <w:link w:val="3"/>
    <w:semiHidden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脚 字符"/>
    <w:link w:val="4"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眉 字符"/>
    <w:link w:val="5"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3">
    <w:name w:val="List Paragraph1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6</Pages>
  <Words>810</Words>
  <Characters>1281</Characters>
  <Lines>3</Lines>
  <Paragraphs>1</Paragraphs>
  <TotalTime>0</TotalTime>
  <ScaleCrop>false</ScaleCrop>
  <LinksUpToDate>false</LinksUpToDate>
  <CharactersWithSpaces>1421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2023-08-22T04:51:00Z</dcterms:created>
  <dc:creator>微软用户</dc:creator>
  <cp:lastModifiedBy>蔡征芸</cp:lastModifiedBy>
  <dcterms:modified xsi:type="dcterms:W3CDTF">2026-10-29T13:02:50Z</dcterms:modified>
  <dc:title>课程编号：B0801*****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eyJoZGlkIjoiNDMyOTY4ZGQxMjdjZDBiNzYxMmRlMDMwN2EzOTQ3YWMiLCJ1c2VySWQiOiIxNzMxOTc3ODk4In0=</vt:lpwstr>
  </property>
  <property fmtid="{D5CDD505-2E9C-101B-9397-08002B2CF9AE}" pid="4" name="ICV">
    <vt:lpwstr>2FCBE16CC9AA4110AD018CF3B4DFFEB0_12</vt:lpwstr>
  </property>
</Properties>
</file>