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1F1F"/>
          <w:sz w:val="40"/>
        </w:rPr>
        <w:t>Cyclic Freight Service Design with Cross-Dock Handling</w:t>
      </w:r>
    </w:p>
    <w:p>
      <w:pPr>
        <w:spacing w:before="0" w:after="280"/>
      </w:pPr>
      <w:r>
        <w:rPr>
          <w:rFonts w:ascii="Calibri" w:hAnsi="Calibri"/>
          <w:b/>
          <w:color w:val="666666"/>
          <w:sz w:val="20"/>
        </w:rPr>
        <w:t>OR-Bench | Business-level description</w:t>
      </w:r>
    </w:p>
    <w:p>
      <w:pPr>
        <w:pStyle w:val="Heading1"/>
      </w:pPr>
      <w:r>
        <w:t>Business Request</w:t>
      </w:r>
    </w:p>
    <w:p>
      <w:pPr>
        <w:keepLines/>
      </w:pPr>
      <w:r>
        <w:t>A freight carrier publishes the same four-slot line-haul plan every week. Operating a listed leg uses one owned tractor and moves it to that leg's destination; tractors cannot be rented, created, or moved on unlisted deadheads. At most two owned tractors are available for this plan. A tractor may wait at a terminal without cost. Because the plan repeats, the same two physical tractors must cover every opened weekly departure through closed rotations; a longer rotation that needs three staggered tractors is not feasible.</w:t>
      </w:r>
    </w:p>
    <w:p>
      <w:pPr>
        <w:keepLines/>
      </w:pPr>
      <w:r>
        <w:t>One indivisible trailer-load is available at Origin O in slot 0 and must reach Destination D no later than the end of slot 3. At hub H, unloading, sorting, and reloading take one complete slot. Thus, freight arriving at H in slot 1 cannot board a departure in slot 1; its earliest eligible departure is slot 2. Choose the weekly service legs and the shipment path to minimize weekly operating cost. Return and rotation legs listed below close the next weekly cycle and are outside this shipment's delivery window.</w:t>
      </w:r>
    </w:p>
    <w:p>
      <w:pPr>
        <w:keepLines/>
      </w:pPr>
      <w:r>
        <w:t>Each listed leg may be operated at most once per week. Forward legs have capacity one for this shipment; return legs cannot carry this shipment.</w:t>
      </w:r>
    </w:p>
    <w:tbl>
      <w:tblPr>
        <w:tblStyle w:val="TableGrid"/>
        <w:tblW w:type="dxa" w:w="9360"/>
        <w:jc w:val="left"/>
        <w:tblLayout w:type="fixed"/>
        <w:tblLook w:firstColumn="1" w:firstRow="1" w:lastColumn="0" w:lastRow="0" w:noHBand="0" w:noVBand="1" w:val="04A0"/>
        <w:tblInd w:type="dxa" w:w="120"/>
      </w:tblPr>
      <w:tblGrid>
        <w:gridCol w:w="720"/>
        <w:gridCol w:w="6170"/>
        <w:gridCol w:w="720"/>
        <w:gridCol w:w="1750"/>
      </w:tblGrid>
      <w:tr>
        <w:trPr>
          <w:tblHeader w:val="true"/>
        </w:trPr>
        <w:tc>
          <w:tcPr>
            <w:tcW w:type="dxa" w:w="720"/>
            <w:vAlign w:val="center"/>
            <w:shd w:fill="F2F4F7"/>
            <w:tcMar>
              <w:top w:w="70" w:type="dxa"/>
              <w:bottom w:w="70" w:type="dxa"/>
              <w:start w:w="120" w:type="dxa"/>
              <w:end w:w="120" w:type="dxa"/>
            </w:tcMar>
          </w:tcPr>
          <w:p>
            <w:pPr>
              <w:spacing w:before="0" w:after="0" w:line="240" w:lineRule="auto"/>
              <w:jc w:val="center"/>
            </w:pPr>
            <w:r>
              <w:rPr>
                <w:rFonts w:ascii="Calibri" w:hAnsi="Calibri"/>
                <w:b/>
                <w:color w:val="1F1F1F"/>
                <w:sz w:val="18"/>
              </w:rPr>
              <w:t>Leg</w:t>
            </w:r>
          </w:p>
        </w:tc>
        <w:tc>
          <w:tcPr>
            <w:tcW w:type="dxa" w:w="6170"/>
            <w:vAlign w:val="center"/>
            <w:shd w:fill="F2F4F7"/>
            <w:tcMar>
              <w:top w:w="70" w:type="dxa"/>
              <w:bottom w:w="70" w:type="dxa"/>
              <w:start w:w="120" w:type="dxa"/>
              <w:end w:w="120" w:type="dxa"/>
            </w:tcMar>
          </w:tcPr>
          <w:p>
            <w:pPr>
              <w:spacing w:before="0" w:after="0" w:line="240" w:lineRule="auto"/>
              <w:jc w:val="left"/>
            </w:pPr>
            <w:r>
              <w:rPr>
                <w:rFonts w:ascii="Calibri" w:hAnsi="Calibri"/>
                <w:b/>
                <w:color w:val="1F1F1F"/>
                <w:sz w:val="18"/>
              </w:rPr>
              <w:t>Owned-tractor movement in the periodic time-space network</w:t>
            </w:r>
          </w:p>
        </w:tc>
        <w:tc>
          <w:tcPr>
            <w:tcW w:type="dxa" w:w="720"/>
            <w:vAlign w:val="center"/>
            <w:shd w:fill="F2F4F7"/>
            <w:tcMar>
              <w:top w:w="70" w:type="dxa"/>
              <w:bottom w:w="70" w:type="dxa"/>
              <w:start w:w="120" w:type="dxa"/>
              <w:end w:w="120" w:type="dxa"/>
            </w:tcMar>
          </w:tcPr>
          <w:p>
            <w:pPr>
              <w:spacing w:before="0" w:after="0" w:line="240" w:lineRule="auto"/>
              <w:jc w:val="center"/>
            </w:pPr>
            <w:r>
              <w:rPr>
                <w:rFonts w:ascii="Calibri" w:hAnsi="Calibri"/>
                <w:b/>
                <w:color w:val="1F1F1F"/>
                <w:sz w:val="18"/>
              </w:rPr>
              <w:t>Cost</w:t>
            </w:r>
          </w:p>
        </w:tc>
        <w:tc>
          <w:tcPr>
            <w:tcW w:type="dxa" w:w="1750"/>
            <w:vAlign w:val="center"/>
            <w:shd w:fill="F2F4F7"/>
            <w:tcMar>
              <w:top w:w="70" w:type="dxa"/>
              <w:bottom w:w="70" w:type="dxa"/>
              <w:start w:w="120" w:type="dxa"/>
              <w:end w:w="120" w:type="dxa"/>
            </w:tcMar>
          </w:tcPr>
          <w:p>
            <w:pPr>
              <w:spacing w:before="0" w:after="0" w:line="240" w:lineRule="auto"/>
              <w:jc w:val="center"/>
            </w:pPr>
            <w:r>
              <w:rPr>
                <w:rFonts w:ascii="Calibri" w:hAnsi="Calibri"/>
                <w:b/>
                <w:color w:val="1F1F1F"/>
                <w:sz w:val="18"/>
              </w:rPr>
              <w:t>Shipment eligible</w:t>
            </w:r>
          </w:p>
        </w:tc>
      </w:tr>
      <w:tr>
        <w:trPr/>
        <w:tc>
          <w:tcPr>
            <w:tcW w:type="dxa" w:w="72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F1</w:t>
            </w:r>
          </w:p>
        </w:tc>
        <w:tc>
          <w:tcPr>
            <w:tcW w:type="dxa" w:w="6170"/>
            <w:vAlign w:val="center"/>
            <w:tcMar>
              <w:top w:w="70" w:type="dxa"/>
              <w:bottom w:w="70" w:type="dxa"/>
              <w:start w:w="120" w:type="dxa"/>
              <w:end w:w="120" w:type="dxa"/>
            </w:tcMar>
          </w:tcPr>
          <w:p>
            <w:pPr>
              <w:spacing w:before="0" w:after="0" w:line="240" w:lineRule="auto"/>
              <w:jc w:val="left"/>
            </w:pPr>
            <w:r>
              <w:rPr>
                <w:rFonts w:ascii="Calibri" w:hAnsi="Calibri"/>
                <w:b w:val="0"/>
                <w:color w:val="1F1F1F"/>
                <w:sz w:val="18"/>
              </w:rPr>
              <w:t>O at slot 0 to H at slot 1</w:t>
            </w:r>
          </w:p>
        </w:tc>
        <w:tc>
          <w:tcPr>
            <w:tcW w:type="dxa" w:w="72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2</w:t>
            </w:r>
          </w:p>
        </w:tc>
        <w:tc>
          <w:tcPr>
            <w:tcW w:type="dxa" w:w="175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yes</w:t>
            </w:r>
          </w:p>
        </w:tc>
      </w:tr>
      <w:tr>
        <w:trPr/>
        <w:tc>
          <w:tcPr>
            <w:tcW w:type="dxa" w:w="72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R1</w:t>
            </w:r>
          </w:p>
        </w:tc>
        <w:tc>
          <w:tcPr>
            <w:tcW w:type="dxa" w:w="6170"/>
            <w:vAlign w:val="center"/>
            <w:tcMar>
              <w:top w:w="70" w:type="dxa"/>
              <w:bottom w:w="70" w:type="dxa"/>
              <w:start w:w="120" w:type="dxa"/>
              <w:end w:w="120" w:type="dxa"/>
            </w:tcMar>
          </w:tcPr>
          <w:p>
            <w:pPr>
              <w:spacing w:before="0" w:after="0" w:line="240" w:lineRule="auto"/>
              <w:jc w:val="left"/>
            </w:pPr>
            <w:r>
              <w:rPr>
                <w:rFonts w:ascii="Calibri" w:hAnsi="Calibri"/>
                <w:b w:val="0"/>
                <w:color w:val="1F1F1F"/>
                <w:sz w:val="18"/>
              </w:rPr>
              <w:t>H at slot 1 to O at slot 0 of the next week</w:t>
            </w:r>
          </w:p>
        </w:tc>
        <w:tc>
          <w:tcPr>
            <w:tcW w:type="dxa" w:w="72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2</w:t>
            </w:r>
          </w:p>
        </w:tc>
        <w:tc>
          <w:tcPr>
            <w:tcW w:type="dxa" w:w="175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no</w:t>
            </w:r>
          </w:p>
        </w:tc>
      </w:tr>
      <w:tr>
        <w:trPr/>
        <w:tc>
          <w:tcPr>
            <w:tcW w:type="dxa" w:w="72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F2</w:t>
            </w:r>
          </w:p>
        </w:tc>
        <w:tc>
          <w:tcPr>
            <w:tcW w:type="dxa" w:w="6170"/>
            <w:vAlign w:val="center"/>
            <w:tcMar>
              <w:top w:w="70" w:type="dxa"/>
              <w:bottom w:w="70" w:type="dxa"/>
              <w:start w:w="120" w:type="dxa"/>
              <w:end w:w="120" w:type="dxa"/>
            </w:tcMar>
          </w:tcPr>
          <w:p>
            <w:pPr>
              <w:spacing w:before="0" w:after="0" w:line="240" w:lineRule="auto"/>
              <w:jc w:val="left"/>
            </w:pPr>
            <w:r>
              <w:rPr>
                <w:rFonts w:ascii="Calibri" w:hAnsi="Calibri"/>
                <w:b w:val="0"/>
                <w:color w:val="1F1F1F"/>
                <w:sz w:val="18"/>
              </w:rPr>
              <w:t>H at slot 1 to D at slot 2</w:t>
            </w:r>
          </w:p>
        </w:tc>
        <w:tc>
          <w:tcPr>
            <w:tcW w:type="dxa" w:w="72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2</w:t>
            </w:r>
          </w:p>
        </w:tc>
        <w:tc>
          <w:tcPr>
            <w:tcW w:type="dxa" w:w="175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yes</w:t>
            </w:r>
          </w:p>
        </w:tc>
      </w:tr>
      <w:tr>
        <w:trPr/>
        <w:tc>
          <w:tcPr>
            <w:tcW w:type="dxa" w:w="72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R2</w:t>
            </w:r>
          </w:p>
        </w:tc>
        <w:tc>
          <w:tcPr>
            <w:tcW w:type="dxa" w:w="6170"/>
            <w:vAlign w:val="center"/>
            <w:tcMar>
              <w:top w:w="70" w:type="dxa"/>
              <w:bottom w:w="70" w:type="dxa"/>
              <w:start w:w="120" w:type="dxa"/>
              <w:end w:w="120" w:type="dxa"/>
            </w:tcMar>
          </w:tcPr>
          <w:p>
            <w:pPr>
              <w:spacing w:before="0" w:after="0" w:line="240" w:lineRule="auto"/>
              <w:jc w:val="left"/>
            </w:pPr>
            <w:r>
              <w:rPr>
                <w:rFonts w:ascii="Calibri" w:hAnsi="Calibri"/>
                <w:b w:val="0"/>
                <w:color w:val="1F1F1F"/>
                <w:sz w:val="18"/>
              </w:rPr>
              <w:t>D at slot 2 to H at slot 1 of the next week</w:t>
            </w:r>
          </w:p>
        </w:tc>
        <w:tc>
          <w:tcPr>
            <w:tcW w:type="dxa" w:w="72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2</w:t>
            </w:r>
          </w:p>
        </w:tc>
        <w:tc>
          <w:tcPr>
            <w:tcW w:type="dxa" w:w="175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no</w:t>
            </w:r>
          </w:p>
        </w:tc>
      </w:tr>
      <w:tr>
        <w:trPr/>
        <w:tc>
          <w:tcPr>
            <w:tcW w:type="dxa" w:w="72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F3</w:t>
            </w:r>
          </w:p>
        </w:tc>
        <w:tc>
          <w:tcPr>
            <w:tcW w:type="dxa" w:w="6170"/>
            <w:vAlign w:val="center"/>
            <w:tcMar>
              <w:top w:w="70" w:type="dxa"/>
              <w:bottom w:w="70" w:type="dxa"/>
              <w:start w:w="120" w:type="dxa"/>
              <w:end w:w="120" w:type="dxa"/>
            </w:tcMar>
          </w:tcPr>
          <w:p>
            <w:pPr>
              <w:spacing w:before="0" w:after="0" w:line="240" w:lineRule="auto"/>
              <w:jc w:val="left"/>
            </w:pPr>
            <w:r>
              <w:rPr>
                <w:rFonts w:ascii="Calibri" w:hAnsi="Calibri"/>
                <w:b w:val="0"/>
                <w:color w:val="1F1F1F"/>
                <w:sz w:val="18"/>
              </w:rPr>
              <w:t>H at slot 2 to D at slot 3</w:t>
            </w:r>
          </w:p>
        </w:tc>
        <w:tc>
          <w:tcPr>
            <w:tcW w:type="dxa" w:w="72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10</w:t>
            </w:r>
          </w:p>
        </w:tc>
        <w:tc>
          <w:tcPr>
            <w:tcW w:type="dxa" w:w="175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yes</w:t>
            </w:r>
          </w:p>
        </w:tc>
      </w:tr>
      <w:tr>
        <w:trPr/>
        <w:tc>
          <w:tcPr>
            <w:tcW w:type="dxa" w:w="72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R3</w:t>
            </w:r>
          </w:p>
        </w:tc>
        <w:tc>
          <w:tcPr>
            <w:tcW w:type="dxa" w:w="6170"/>
            <w:vAlign w:val="center"/>
            <w:tcMar>
              <w:top w:w="70" w:type="dxa"/>
              <w:bottom w:w="70" w:type="dxa"/>
              <w:start w:w="120" w:type="dxa"/>
              <w:end w:w="120" w:type="dxa"/>
            </w:tcMar>
          </w:tcPr>
          <w:p>
            <w:pPr>
              <w:spacing w:before="0" w:after="0" w:line="240" w:lineRule="auto"/>
              <w:jc w:val="left"/>
            </w:pPr>
            <w:r>
              <w:rPr>
                <w:rFonts w:ascii="Calibri" w:hAnsi="Calibri"/>
                <w:b w:val="0"/>
                <w:color w:val="1F1F1F"/>
                <w:sz w:val="18"/>
              </w:rPr>
              <w:t>D at slot 3 to H at slot 2 of the next week</w:t>
            </w:r>
          </w:p>
        </w:tc>
        <w:tc>
          <w:tcPr>
            <w:tcW w:type="dxa" w:w="72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10</w:t>
            </w:r>
          </w:p>
        </w:tc>
        <w:tc>
          <w:tcPr>
            <w:tcW w:type="dxa" w:w="175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no</w:t>
            </w:r>
          </w:p>
        </w:tc>
      </w:tr>
      <w:tr>
        <w:trPr/>
        <w:tc>
          <w:tcPr>
            <w:tcW w:type="dxa" w:w="72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F4</w:t>
            </w:r>
          </w:p>
        </w:tc>
        <w:tc>
          <w:tcPr>
            <w:tcW w:type="dxa" w:w="6170"/>
            <w:vAlign w:val="center"/>
            <w:tcMar>
              <w:top w:w="70" w:type="dxa"/>
              <w:bottom w:w="70" w:type="dxa"/>
              <w:start w:w="120" w:type="dxa"/>
              <w:end w:w="120" w:type="dxa"/>
            </w:tcMar>
          </w:tcPr>
          <w:p>
            <w:pPr>
              <w:spacing w:before="0" w:after="0" w:line="240" w:lineRule="auto"/>
              <w:jc w:val="left"/>
            </w:pPr>
            <w:r>
              <w:rPr>
                <w:rFonts w:ascii="Calibri" w:hAnsi="Calibri"/>
                <w:b w:val="0"/>
                <w:color w:val="1F1F1F"/>
                <w:sz w:val="18"/>
              </w:rPr>
              <w:t>O at slot 0 to D at slot 3</w:t>
            </w:r>
          </w:p>
        </w:tc>
        <w:tc>
          <w:tcPr>
            <w:tcW w:type="dxa" w:w="72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7.5</w:t>
            </w:r>
          </w:p>
        </w:tc>
        <w:tc>
          <w:tcPr>
            <w:tcW w:type="dxa" w:w="175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yes</w:t>
            </w:r>
          </w:p>
        </w:tc>
      </w:tr>
      <w:tr>
        <w:trPr/>
        <w:tc>
          <w:tcPr>
            <w:tcW w:type="dxa" w:w="72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R4</w:t>
            </w:r>
          </w:p>
        </w:tc>
        <w:tc>
          <w:tcPr>
            <w:tcW w:type="dxa" w:w="6170"/>
            <w:vAlign w:val="center"/>
            <w:tcMar>
              <w:top w:w="70" w:type="dxa"/>
              <w:bottom w:w="70" w:type="dxa"/>
              <w:start w:w="120" w:type="dxa"/>
              <w:end w:w="120" w:type="dxa"/>
            </w:tcMar>
          </w:tcPr>
          <w:p>
            <w:pPr>
              <w:spacing w:before="0" w:after="0" w:line="240" w:lineRule="auto"/>
              <w:jc w:val="left"/>
            </w:pPr>
            <w:r>
              <w:rPr>
                <w:rFonts w:ascii="Calibri" w:hAnsi="Calibri"/>
                <w:b w:val="0"/>
                <w:color w:val="1F1F1F"/>
                <w:sz w:val="18"/>
              </w:rPr>
              <w:t>D at slot 3 to O at slot 0 of the next week</w:t>
            </w:r>
          </w:p>
        </w:tc>
        <w:tc>
          <w:tcPr>
            <w:tcW w:type="dxa" w:w="72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7.5</w:t>
            </w:r>
          </w:p>
        </w:tc>
        <w:tc>
          <w:tcPr>
            <w:tcW w:type="dxa" w:w="1750"/>
            <w:vAlign w:val="center"/>
            <w:tcMar>
              <w:top w:w="70" w:type="dxa"/>
              <w:bottom w:w="70" w:type="dxa"/>
              <w:start w:w="120" w:type="dxa"/>
              <w:end w:w="120" w:type="dxa"/>
            </w:tcMar>
          </w:tcPr>
          <w:p>
            <w:pPr>
              <w:spacing w:before="0" w:after="0" w:line="240" w:lineRule="auto"/>
              <w:jc w:val="center"/>
            </w:pPr>
            <w:r>
              <w:rPr>
                <w:rFonts w:ascii="Calibri" w:hAnsi="Calibri"/>
                <w:b w:val="0"/>
                <w:color w:val="1F1F1F"/>
                <w:sz w:val="18"/>
              </w:rPr>
              <w:t>no</w:t>
            </w:r>
          </w:p>
        </w:tc>
      </w:tr>
    </w:tbl>
    <w:p>
      <w:pPr>
        <w:spacing w:after="0"/>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Cyclic Freight Service Design with Cross-Dock Handling</dc:title>
  <dc:subject>OR-Bench business-level problem description</dc:subject>
  <dc:creator>Zhengzhong You</dc:creator>
  <cp:keywords/>
  <dc:description>generated by python-docx</dc:description>
  <cp:lastModifiedBy/>
  <cp:revision>1</cp:revision>
  <dcterms:created xsi:type="dcterms:W3CDTF">2013-12-23T23:15:00Z</dcterms:created>
  <dcterms:modified xsi:type="dcterms:W3CDTF">2013-12-23T23:15:00Z</dcterms:modified>
  <cp:category/>
</cp:coreProperties>
</file>