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1F1F"/>
          <w:sz w:val="40"/>
        </w:rPr>
        <w:t>Limited-Display PCL Assortment Planning</w:t>
      </w:r>
    </w:p>
    <w:p>
      <w:pPr>
        <w:spacing w:before="0" w:after="280"/>
      </w:pPr>
      <w:r>
        <w:rPr>
          <w:rFonts w:ascii="Calibri" w:hAnsi="Calibri"/>
          <w:b/>
          <w:color w:val="666666"/>
          <w:sz w:val="20"/>
        </w:rPr>
        <w:t>OR-Bench | Business-level description</w:t>
      </w:r>
    </w:p>
    <w:p>
      <w:pPr>
        <w:pStyle w:val="Heading1"/>
      </w:pPr>
      <w:r>
        <w:t>Business Request</w:t>
      </w:r>
    </w:p>
    <w:p>
      <w:pPr>
        <w:keepLines/>
      </w:pPr>
      <w:r>
        <w:t>Our category team must choose up to four products for a limited retail display. For each product, the demand-science team has estimated a customer-attraction weight and a normalized contribution margin. It has also calibrated a standard paired combinatorial logit (PCL) choice model, with a dissimilarity estimate for every unordered product pair and an outside-option weight for customers who leave without purchasing. Choose the assortment that maximizes expected contribution margin while accounting for substitution among the offered products.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Limited-Display PCL Assortment Planning</dc:title>
  <dc:subject>OR-Bench business-level problem description</dc:subject>
  <dc:creator>Zhengzhong You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