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47C9E3B7"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Hyperlink"/>
            <w:rFonts w:cs="Arial"/>
            <w:noProof/>
          </w:rPr>
          <w:t xml:space="preserve">"CSharp </w:t>
        </w:r>
        <w:r w:rsidRPr="00E96F25">
          <w:rPr>
            <w:rStyle w:val="Hyperlink"/>
            <w:rFonts w:cs="Arial"/>
          </w:rPr>
          <w:t>Advanced" course @ Software University</w:t>
        </w:r>
        <w:r w:rsidRPr="00E96F25">
          <w:rPr>
            <w:rStyle w:val="Hyperlink"/>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Hyperlink"/>
          </w:rPr>
          <w:t>Judge</w:t>
        </w:r>
      </w:hyperlink>
      <w:r>
        <w:t>.</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3B1F52">
        <w:rPr>
          <w:rFonts w:ascii="Consolas" w:hAnsi="Consolas"/>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07A15B58" w:rsidR="00C30858" w:rsidRPr="00C30858" w:rsidRDefault="003B1F52" w:rsidP="00C30858">
      <w:pPr>
        <w:rPr>
          <w:lang w:val="bg-BG"/>
        </w:rPr>
      </w:pPr>
      <w:r>
        <w:t>Create a</w:t>
      </w:r>
      <w:r w:rsidR="00C30858" w:rsidRPr="00C30858">
        <w:t xml:space="preserve"> program that </w:t>
      </w:r>
      <w:r w:rsidR="00C30858" w:rsidRPr="00C30858">
        <w:rPr>
          <w:b/>
        </w:rPr>
        <w:t>read a matrix</w:t>
      </w:r>
      <w:r w:rsidR="00C30858" w:rsidRPr="00C30858">
        <w:t xml:space="preserve"> from console and print the sum for each column. On first line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2FB067B8"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0E3B0C5B"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 a matrix</w:t>
      </w:r>
      <w:r w:rsidR="00C30858" w:rsidRPr="00C30858">
        <w:rPr>
          <w:rFonts w:ascii="Calibri" w:eastAsia="MS Mincho" w:hAnsi="Calibri" w:cs="Times New Roman"/>
          <w:szCs w:val="24"/>
        </w:rPr>
        <w:t xml:space="preserve"> from console. Then find biggest sum of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F264270"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 xml:space="preserve">On the first line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next </w:t>
      </w:r>
      <w:r w:rsidR="00C30858" w:rsidRPr="00C30858">
        <w:rPr>
          <w:b/>
        </w:rPr>
        <w:t>rows</w:t>
      </w:r>
      <w:r w:rsidR="00C30858" w:rsidRPr="00C30858">
        <w:t xml:space="preserve"> lines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Coordinates might be invalid. In this case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Hyperlink"/>
          <w:lang w:val="bg-BG"/>
        </w:rPr>
      </w:pPr>
      <w:r w:rsidRPr="00C30858">
        <w:t>If you want more info about</w:t>
      </w:r>
      <w:r w:rsidR="008E2DE4">
        <w:t xml:space="preserve"> Pascal’s triangle </w:t>
      </w:r>
      <w:hyperlink r:id="rId11" w:history="1">
        <w:r w:rsidR="008E2DE4" w:rsidRPr="008E2DE4">
          <w:rPr>
            <w:rStyle w:val="Hyperlink"/>
          </w:rPr>
          <w:t>here</w:t>
        </w:r>
      </w:hyperlink>
      <w:r w:rsidR="008E2DE4">
        <w:t>.</w:t>
      </w:r>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91CE4" w14:textId="77777777" w:rsidR="00424BF7" w:rsidRDefault="00424BF7" w:rsidP="008068A2">
      <w:pPr>
        <w:spacing w:after="0" w:line="240" w:lineRule="auto"/>
      </w:pPr>
      <w:r>
        <w:separator/>
      </w:r>
    </w:p>
  </w:endnote>
  <w:endnote w:type="continuationSeparator" w:id="0">
    <w:p w14:paraId="6F1CD65A" w14:textId="77777777" w:rsidR="00424BF7" w:rsidRDefault="00424B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237F" w14:textId="77777777" w:rsidR="00424BF7" w:rsidRDefault="00424BF7" w:rsidP="008068A2">
      <w:pPr>
        <w:spacing w:after="0" w:line="240" w:lineRule="auto"/>
      </w:pPr>
      <w:r>
        <w:separator/>
      </w:r>
    </w:p>
  </w:footnote>
  <w:footnote w:type="continuationSeparator" w:id="0">
    <w:p w14:paraId="04B58C0C" w14:textId="77777777" w:rsidR="00424BF7" w:rsidRDefault="00424B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6F2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Aleksandar Kermanov</cp:lastModifiedBy>
  <cp:revision>12</cp:revision>
  <cp:lastPrinted>2015-10-26T22:35:00Z</cp:lastPrinted>
  <dcterms:created xsi:type="dcterms:W3CDTF">2019-11-12T12:29:00Z</dcterms:created>
  <dcterms:modified xsi:type="dcterms:W3CDTF">2021-09-03T08:06:00Z</dcterms:modified>
  <cp:category>programming; education; software engineering; software development</cp:category>
</cp:coreProperties>
</file>