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Arial" w:hAnsi="Arial" w:eastAsia="Microsoft YaHei"/>
          <w:b/>
          <w:color w:val="0B2545"/>
          <w:sz w:val="44"/>
        </w:rPr>
        <w:t>2026年广州科技创新创业大赛行业赛</w:t>
      </w:r>
      <w:r>
        <w:br/>
      </w:r>
      <w:r>
        <w:rPr>
          <w:rFonts w:ascii="Arial" w:hAnsi="Arial" w:eastAsia="Microsoft YaHei"/>
          <w:b/>
          <w:color w:val="0B2545"/>
          <w:sz w:val="44"/>
        </w:rPr>
        <w:t>项目报名材料草案</w:t>
      </w:r>
    </w:p>
    <w:p>
      <w:pPr>
        <w:spacing w:after="120" w:line="276" w:lineRule="auto"/>
        <w:jc w:val="center"/>
      </w:pPr>
      <w:r>
        <w:rPr>
          <w:rFonts w:ascii="Arial" w:hAnsi="Arial" w:eastAsia="Microsoft YaHei"/>
          <w:b/>
          <w:sz w:val="26"/>
        </w:rPr>
        <w:t>项目名称：光通讯激光器数字孪生技术（TLaser）</w:t>
      </w:r>
    </w:p>
    <w:p>
      <w:pPr>
        <w:spacing w:after="120" w:line="276" w:lineRule="auto"/>
        <w:jc w:val="center"/>
      </w:pPr>
      <w:r>
        <w:rPr>
          <w:rFonts w:ascii="Arial" w:hAnsi="Arial" w:eastAsia="Microsoft YaHei"/>
          <w:b w:val="0"/>
          <w:sz w:val="21"/>
        </w:rPr>
        <w:t>拟申报通道：广州市科学技术局主办、 大湾区科技创新服务中心承办的2026年广州科技创新创业大赛行业赛；粤港澳大湾区国家技术创新中心作为特别支持单位和产业协同平台。</w:t>
      </w:r>
    </w:p>
    <w:p>
      <w:pPr>
        <w:spacing w:after="100" w:line="276" w:lineRule="auto" w:before="240"/>
      </w:pPr>
      <w:r>
        <w:rPr>
          <w:rFonts w:ascii="Arial" w:hAnsi="Arial" w:eastAsia="Microsoft YaHei"/>
          <w:b/>
          <w:color w:val="2E74B5"/>
          <w:sz w:val="32"/>
        </w:rPr>
        <w:t>一、申报通道判断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项目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建议填写/判断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受理/主办机构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广州市科学技术局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执行/服务机构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大湾区科技创新服务中心，广州科技创新创业大赛组委会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特别支持平台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粤港澳大湾区国家技术创新中心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建议参赛领域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战略性新兴产业领域：软件与互联网 / 新一代信息设备和通信网络 / 半导体与集成电路 / 人工智能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优先赛道建议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首选“软件与互联网”或“新一代信息设备和通信网络”；备用“半导体与集成电路”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主体提醒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战略性新兴产业领域通常面向广州市注册企业；如当前主体尚未在广州注册，需尽快确认是否以拟落地广州/拟注册主体报名或转走其他开放赛道。</w:t>
            </w:r>
          </w:p>
        </w:tc>
      </w:tr>
    </w:tbl>
    <w:p>
      <w:pPr>
        <w:spacing w:after="100" w:line="276" w:lineRule="auto" w:before="240"/>
      </w:pPr>
      <w:r>
        <w:rPr>
          <w:rFonts w:ascii="Arial" w:hAnsi="Arial" w:eastAsia="Microsoft YaHei"/>
          <w:b/>
          <w:color w:val="2E74B5"/>
          <w:sz w:val="32"/>
        </w:rPr>
        <w:t>二、项目摘要</w:t>
      </w:r>
    </w:p>
    <w:p>
      <w:pPr>
        <w:spacing w:after="120" w:line="276" w:lineRule="auto"/>
      </w:pPr>
      <w:r>
        <w:rPr>
          <w:rFonts w:ascii="Arial" w:hAnsi="Arial" w:eastAsia="Microsoft YaHei"/>
          <w:b w:val="0"/>
          <w:sz w:val="22"/>
        </w:rPr>
        <w:t>TLaser 是面向光通讯半导体激光器的实时数字孪生与在线标定工业软件。项目聚焦光模块、激光芯片和测试装备企业在研发与测试中的关键痛点：离线仿真耗时、L-I-V 测试数据不能及时反哺设计模型、实测曲线偏离原因难解释、器件性能筛选依赖专家经验。TLaser 以腔长、脊/有源区宽度、有源区厚度、注入电流、热沉/环境温度、前镜反射率、后镜反射率等 7 个设计/工况参数为输入，毫秒级预测 L-I-V 曲线、输出光功率、阈值电流、斜率效率和转换效率；同时接入客户给定的 L-I-V 实测数据，反演内部物性参数并生成校准后的设备级数字孪生。项目当前已完成准三维激光器物理模拟器、PINN 代理模型、参数标定脚本、中英文控制面板、用户手册和演示材料，可进入真实客户数据联合验证和广州/大湾区产业落地阶段。</w:t>
      </w:r>
    </w:p>
    <w:p>
      <w:pPr>
        <w:spacing w:after="100" w:line="276" w:lineRule="auto" w:before="240"/>
      </w:pPr>
      <w:r>
        <w:rPr>
          <w:rFonts w:ascii="Arial" w:hAnsi="Arial" w:eastAsia="Microsoft YaHei"/>
          <w:b/>
          <w:color w:val="2E74B5"/>
          <w:sz w:val="32"/>
        </w:rPr>
        <w:t>三、核心技术与创新性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7D 参数化激光器物理模型：把工程师可直接理解的设计/工况参数映射到 L-I-V 曲线和关键性能指标。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PINN 代理模型：把物理约束嵌入神经网络训练，使网页端参数扫描达到毫秒级响应。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L-I-V 在线标定算法：根据客户上传的实测曲线反演内损耗、限制因子、串联/分流电阻、非辐射复合等漂移或未知参数。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SaaS 工程工作流：把设计探索、数据上传、自动标定、误差评价、模型保存和报告导出封装为轻量级工业软件服务。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竞争定位：不替代 Ansys、RSoft、Crosslight 等完整 TCAD/光学仿真工具，而是成为重型仿真软件与 L-I-V 测试设备之间的在线标定和即时预测层。</w:t>
      </w:r>
    </w:p>
    <w:p>
      <w:pPr>
        <w:spacing w:after="100" w:line="276" w:lineRule="auto" w:before="240"/>
      </w:pPr>
      <w:r>
        <w:rPr>
          <w:rFonts w:ascii="Arial" w:hAnsi="Arial" w:eastAsia="Microsoft YaHei"/>
          <w:b/>
          <w:color w:val="2E74B5"/>
          <w:sz w:val="32"/>
        </w:rPr>
        <w:t>四、产品形态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模块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功能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客户价值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7D 设计探索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输入或滑动调整 7 个设计/工况参数，实时生成性能预测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快速筛选设计参数，减少离线仿真和样品试错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实测数据标定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上传 CSV/JSON 格式 L-I-V 曲线，自动清洗、拟合和反演参数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解释实测偏差，形成校准后的设备级模型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器件模型库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保存器件型号、测试条件、标定参数和版本记录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让研发/测试团队复用历史模型和客户数据资产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报告与 API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输出校准前后对比、误差指标和工程验证报告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便于接入测试台、研发数据库和 PLM 流程</w:t>
            </w:r>
          </w:p>
        </w:tc>
      </w:tr>
    </w:tbl>
    <w:p>
      <w:pPr>
        <w:spacing w:after="100" w:line="276" w:lineRule="auto" w:before="240"/>
      </w:pPr>
      <w:r>
        <w:rPr>
          <w:rFonts w:ascii="Arial" w:hAnsi="Arial" w:eastAsia="Microsoft YaHei"/>
          <w:b/>
          <w:color w:val="2E74B5"/>
          <w:sz w:val="32"/>
        </w:rPr>
        <w:t>五、团队与分工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成员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角色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核心贡献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万振文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CEO/CTO，项目负责人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中科院博士、国家级人才，长期从事计算物理、CAE/工业软件算法和客户交付；负责核心算法、产品定义、研发组织和重点客户交付。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马戎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商务负责人/COO，拟全职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深圳市光彩凯宜电子开发有限公司法定代表人、执行董事&amp;总经理；长期服务华为、H3C、浪潮信息、曙光信息等 ICT 客户，负责深圳/华南/大湾区客户开发、试点合作、销售渠道、合同谈判和测试装备伙伴导入。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蒋寻涯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科学顾问，兼职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复旦大学教授/博导，光电仿真和 EastWave 产业化经验；负责光电仿真技术路线、L-I-V 测试验证方法和种子客户资源协同。</w:t>
            </w:r>
          </w:p>
        </w:tc>
      </w:tr>
    </w:tbl>
    <w:p>
      <w:pPr>
        <w:spacing w:after="100" w:line="276" w:lineRule="auto" w:before="240"/>
      </w:pPr>
      <w:r>
        <w:rPr>
          <w:rFonts w:ascii="Arial" w:hAnsi="Arial" w:eastAsia="Microsoft YaHei"/>
          <w:b/>
          <w:color w:val="2E74B5"/>
          <w:sz w:val="32"/>
        </w:rPr>
        <w:t>六、市场定位与广州/大湾区落地</w:t>
      </w:r>
    </w:p>
    <w:p>
      <w:pPr>
        <w:spacing w:after="120" w:line="276" w:lineRule="auto"/>
      </w:pPr>
      <w:r>
        <w:rPr>
          <w:rFonts w:ascii="Arial" w:hAnsi="Arial" w:eastAsia="Microsoft YaHei"/>
          <w:b w:val="0"/>
          <w:sz w:val="22"/>
        </w:rPr>
        <w:t>TLaser 的目标客户是光模块企业、激光芯片/泵浦模块企业、测试装备企业、硅光/光电芯片企业和研发测试服务机构。广州与大湾区具有通信设备、ICT 终端、智能制造、半导体和软件服务产业基础，深圳/东莞/广州/佛山等城市也有大量测试装备、电子制造和光通信产业链资源。项目在广州参赛时应突出“AI+工业软件”“新一代信息设备和通信网络”“半导体器件研发工具”三重属性，并把马戎的深圳/华南客户资源作为大湾区市场进入抓手。</w:t>
      </w:r>
    </w:p>
    <w:p>
      <w:pPr>
        <w:spacing w:after="100" w:line="276" w:lineRule="auto" w:before="240"/>
      </w:pPr>
      <w:r>
        <w:rPr>
          <w:rFonts w:ascii="Arial" w:hAnsi="Arial" w:eastAsia="Microsoft YaHei"/>
          <w:b/>
          <w:color w:val="2E74B5"/>
          <w:sz w:val="32"/>
        </w:rPr>
        <w:t>七、商业模式与三年目标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阶段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产品/客户目标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收入模式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第一年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完成 V1.0 工程版，接入至少 1 家客户真实 L-I-V 数据并完成校准验证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联合验证与模型适配服务，单项目收费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第二年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形成 SaaS 试点版、器件模型库和私有化部署包，完成 3 家以上付费试点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SaaS 订阅 + 模型适配 + 私有化部署试点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sz w:val="21"/>
              </w:rPr>
              <w:t>第三年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形成商业版、API 接口和标准交付流程，服务不少于 6 类电信激光器型号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年度授权、私有化部署、API 授权和持续模型服务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Microsoft YaHei"/>
          <w:b w:val="0"/>
          <w:sz w:val="22"/>
        </w:rPr>
        <w:t>三年目标：新增项目经费约 800 万元，主营业务收入约 1330 万元，新增就业 25 人，受理发明专利 5 项、PCT 2 项、软件著作权 6 项。广州/大湾区版本可将资金用途表述为：产品工程化、真实器件测试数据接入、云端平台、客户联合验证、知识产权布局和深圳/广州市场拓展。</w:t>
      </w:r>
    </w:p>
    <w:p>
      <w:pPr>
        <w:spacing w:after="100" w:line="276" w:lineRule="auto" w:before="240"/>
      </w:pPr>
      <w:r>
        <w:rPr>
          <w:rFonts w:ascii="Arial" w:hAnsi="Arial" w:eastAsia="Microsoft YaHei"/>
          <w:b/>
          <w:color w:val="2E74B5"/>
          <w:sz w:val="32"/>
        </w:rPr>
        <w:t>八、报名材料清单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广州科技 GI 账号注册与主体认证信息。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企业营业执照或拟落地主体说明；若战略性新兴产业赛道要求广州注册企业，需尽快确认报名主体。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项目商业计划书或报名表摘要，可直接拆用本文内容。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核心团队简历：万振文、马戎、蒋寻涯。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知识产权与技术基础材料：已授权专利、软件原型、用户手册、演示视频、测试/验证说明。</w:t>
      </w:r>
    </w:p>
    <w:p>
      <w:pPr>
        <w:spacing w:after="60" w:line="276" w:lineRule="auto"/>
      </w:pPr>
      <w:r>
        <w:rPr>
          <w:rFonts w:ascii="Arial" w:hAnsi="Arial" w:eastAsia="Microsoft YaHei"/>
          <w:b w:val="0"/>
          <w:sz w:val="22"/>
        </w:rPr>
        <w:t>• 路演材料：建议同步制作 10 页以内 PPT，突出痛点、产品、技术、客户、商业模式和广州/大湾区落地计划。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