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12B16" w14:textId="77777777" w:rsidR="005232EC" w:rsidRDefault="009F3EB0">
      <w:pPr>
        <w:spacing w:after="200"/>
        <w:jc w:val="center"/>
      </w:pPr>
      <w:r>
        <w:rPr>
          <w:rFonts w:eastAsia="Times New Roman"/>
          <w:b/>
          <w:bCs/>
        </w:rPr>
        <w:t>CSYE7105 13969 - High Performance Parallel Machine Learning &amp; AI, Fall 2024</w:t>
      </w:r>
    </w:p>
    <w:p w14:paraId="18412B17" w14:textId="77777777" w:rsidR="005232EC" w:rsidRDefault="009F3EB0">
      <w:pPr>
        <w:spacing w:after="200"/>
        <w:jc w:val="center"/>
      </w:pPr>
      <w:r>
        <w:rPr>
          <w:rFonts w:eastAsia="Times New Roman"/>
          <w:b/>
          <w:bCs/>
        </w:rPr>
        <w:t>Power of Parallel Computing in Thoracic Disease Classification Using NIH Chest X-ray Dataset</w:t>
      </w:r>
    </w:p>
    <w:p w14:paraId="18412B18" w14:textId="1283061B" w:rsidR="005232EC" w:rsidRDefault="009F3EB0">
      <w:pPr>
        <w:spacing w:after="60"/>
        <w:jc w:val="center"/>
      </w:pPr>
      <w:r>
        <w:rPr>
          <w:rFonts w:eastAsia="Times New Roman"/>
          <w:b/>
          <w:bCs/>
        </w:rPr>
        <w:t>Team</w:t>
      </w:r>
      <w:r w:rsidR="00762081">
        <w:rPr>
          <w:rFonts w:hint="eastAsia"/>
          <w:b/>
          <w:bCs/>
        </w:rPr>
        <w:t xml:space="preserve"> 13</w:t>
      </w:r>
      <w:r>
        <w:rPr>
          <w:rFonts w:eastAsia="Times New Roman"/>
          <w:b/>
          <w:bCs/>
        </w:rPr>
        <w:t xml:space="preserve">: </w:t>
      </w:r>
      <w:proofErr w:type="spellStart"/>
      <w:r>
        <w:rPr>
          <w:rFonts w:eastAsia="Times New Roman"/>
        </w:rPr>
        <w:t>Daxiao</w:t>
      </w:r>
      <w:proofErr w:type="spellEnd"/>
      <w:r>
        <w:rPr>
          <w:rFonts w:eastAsia="Times New Roman"/>
        </w:rPr>
        <w:t xml:space="preserve"> Han and Zhenyu Dai</w:t>
      </w:r>
    </w:p>
    <w:p w14:paraId="18412B19" w14:textId="77777777" w:rsidR="005232EC" w:rsidRDefault="009F3EB0">
      <w:pPr>
        <w:spacing w:after="360"/>
        <w:jc w:val="center"/>
      </w:pPr>
      <w:r>
        <w:rPr>
          <w:rFonts w:eastAsia="Times New Roman"/>
        </w:rPr>
        <w:t>Instructor: Prof. Handan Liu</w:t>
      </w:r>
    </w:p>
    <w:p w14:paraId="18412B1A" w14:textId="77777777" w:rsidR="005232EC" w:rsidRDefault="009F3EB0">
      <w:pPr>
        <w:spacing w:after="200"/>
      </w:pPr>
      <w:r>
        <w:rPr>
          <w:rFonts w:eastAsia="Times New Roman"/>
          <w:b/>
          <w:bCs/>
          <w:u w:val="single"/>
        </w:rPr>
        <w:t>Introduction</w:t>
      </w:r>
    </w:p>
    <w:p w14:paraId="18412B1B" w14:textId="77777777" w:rsidR="005232EC" w:rsidRDefault="009F3EB0">
      <w:pPr>
        <w:spacing w:after="120"/>
      </w:pPr>
      <w:r>
        <w:rPr>
          <w:rFonts w:eastAsia="Times New Roman"/>
          <w:b/>
          <w:bCs/>
        </w:rPr>
        <w:t>Background and Motivation:</w:t>
      </w:r>
    </w:p>
    <w:p w14:paraId="18412B1C" w14:textId="69BFD01B" w:rsidR="005232EC" w:rsidRDefault="009F3EB0">
      <w:pPr>
        <w:spacing w:after="120"/>
      </w:pPr>
      <w:r>
        <w:rPr>
          <w:rFonts w:eastAsia="Times New Roman"/>
        </w:rPr>
        <w:t>Chest X-ray examination is one of the most widely used and cost-effective medical imaging modalities. However, manual analysis of chest radiographs is time-consuming and subject to inter-observer variability, making automated computer-aided diagnosis (CAD) systems increasingly valuable. We use the NIH ChestX-ray14 dataset, one of the largest publicly available chest X-ray collections, containing 112,120 frontal-view images from 30,805 unique patients annotated with 14 thoracic disease labels. The dataset is approximately 4</w:t>
      </w:r>
      <w:r w:rsidR="00D1355C">
        <w:rPr>
          <w:rFonts w:hint="eastAsia"/>
        </w:rPr>
        <w:t>5</w:t>
      </w:r>
      <w:r>
        <w:rPr>
          <w:rFonts w:eastAsia="Times New Roman"/>
        </w:rPr>
        <w:t xml:space="preserve"> GB in size.</w:t>
      </w:r>
    </w:p>
    <w:p w14:paraId="18412B1D" w14:textId="77777777" w:rsidR="005232EC" w:rsidRDefault="009F3EB0">
      <w:pPr>
        <w:spacing w:after="120"/>
      </w:pPr>
      <w:r>
        <w:rPr>
          <w:rFonts w:eastAsia="Times New Roman"/>
        </w:rPr>
        <w:t>Training a deep convolutional neural network (CNN) such as DenseNet-121 on over 112,000 high-resolution medical images is computationally intensive. On a single GPU, data preprocessing may take 20–40 minutes and a full training cycle can extend beyond several hours, making the pipeline a prime candidate for parallel computing optimization. We plan to use Python multiprocessing to accelerate data preprocessing and PyTorch’s Distributed Data Parallel (DDP) along with Fully Sharded Data Parallel (FSDP) to speed up model training, aiming to significantly reduce the overall computation time.</w:t>
      </w:r>
    </w:p>
    <w:p w14:paraId="18412B1E" w14:textId="77777777" w:rsidR="005232EC" w:rsidRDefault="009F3EB0">
      <w:pPr>
        <w:spacing w:after="120"/>
      </w:pPr>
      <w:r>
        <w:rPr>
          <w:rFonts w:eastAsia="Times New Roman"/>
          <w:b/>
          <w:bCs/>
        </w:rPr>
        <w:t>Goal:</w:t>
      </w:r>
    </w:p>
    <w:p w14:paraId="18412B1F" w14:textId="77777777" w:rsidR="005232EC" w:rsidRDefault="009F3EB0">
      <w:pPr>
        <w:spacing w:after="120"/>
      </w:pPr>
      <w:r>
        <w:rPr>
          <w:rFonts w:eastAsia="Times New Roman"/>
        </w:rPr>
        <w:t>Our goal in parallelizing the thoracic disease classification task is to leverage the power of parallel computing to enhance the speed and efficiency of model training and data processing. Specifically, we aim to significantly reduce the time required for data cleaning and transformation by distributing the workload across multiple CPU cores using multiprocessing. For model training, with single-GPU training times often exceeding several hours, we strive to implement DDP and FSDP strategies that distribute the computational load across multiple GPUs.</w:t>
      </w:r>
    </w:p>
    <w:p w14:paraId="18412B20" w14:textId="77777777" w:rsidR="005232EC" w:rsidRDefault="009F3EB0">
      <w:pPr>
        <w:spacing w:after="200"/>
      </w:pPr>
      <w:r>
        <w:rPr>
          <w:rFonts w:eastAsia="Times New Roman"/>
        </w:rPr>
        <w:t>By implementing these parallel processing techniques, we aim to achieve near-linear speedup with DDP and improved memory efficiency with FSDP. Our aim is to navigate the challenges of distributed training and find the best strategy and parameters that optimize speed-up and efficiency. This involves experimenting with different parallelization configurations, tuning parameters such as batch size and number of workers, and continuously benchmarking the results to refine our approach.</w:t>
      </w:r>
    </w:p>
    <w:p w14:paraId="18412B21" w14:textId="77777777" w:rsidR="005232EC" w:rsidRDefault="009F3EB0">
      <w:pPr>
        <w:spacing w:after="200"/>
      </w:pPr>
      <w:r>
        <w:rPr>
          <w:rFonts w:eastAsia="Times New Roman"/>
          <w:b/>
          <w:bCs/>
          <w:u w:val="single"/>
        </w:rPr>
        <w:t>Methodology</w:t>
      </w:r>
    </w:p>
    <w:p w14:paraId="18412B22" w14:textId="77777777" w:rsidR="005232EC" w:rsidRDefault="009F3EB0">
      <w:pPr>
        <w:spacing w:after="120"/>
      </w:pPr>
      <w:r>
        <w:rPr>
          <w:rFonts w:eastAsia="Times New Roman"/>
        </w:rPr>
        <w:t>In our methodology for thoracic disease classification, we strategically incorporate parallel processing to optimize computational efficiency at both the data processing and model training stages.</w:t>
      </w:r>
    </w:p>
    <w:p w14:paraId="18412B23" w14:textId="77777777" w:rsidR="005232EC" w:rsidRDefault="009F3EB0">
      <w:pPr>
        <w:spacing w:after="120"/>
      </w:pPr>
      <w:r>
        <w:rPr>
          <w:rFonts w:eastAsia="Times New Roman"/>
        </w:rPr>
        <w:lastRenderedPageBreak/>
        <w:t>The data processing phase begins with loading and transforming 112,120 chest X-ray images (resizing from 1024×1024 to 224×224, normalization, and augmentation). We employ Python’s multiprocessing library to distribute these tasks across multiple CPU cores, and PyTorch’s DataLoader with multiple worker processes (num_workers=4–8) to enable concurrent image loading during training, overlapping CPU-based data preparation with GPU computation.</w:t>
      </w:r>
    </w:p>
    <w:p w14:paraId="18412B24" w14:textId="77777777" w:rsidR="005232EC" w:rsidRDefault="009F3EB0">
      <w:pPr>
        <w:spacing w:after="120"/>
      </w:pPr>
      <w:r>
        <w:rPr>
          <w:rFonts w:eastAsia="Times New Roman"/>
        </w:rPr>
        <w:t>In the model training phase, we adopt two parallelization strategies. First, Distributed Data Parallel (DDP) replicates the DenseNet-121 model on each available GPU and distributes mini-batches across GPUs. Each GPU computes gradients independently, then an all-reduce operation synchronizes gradients before the optimizer step, using NCCL as the communication backend. Second, Fully Sharded Data Parallel (FSDP) further optimizes memory usage by sharding model parameters, gradients, and optimizer states across GPUs, only materializing full parameters during forward and backward passes. We compare both strategies against a single-GPU baseline to evaluate speedup, GPU utilization, and training throughput.</w:t>
      </w:r>
    </w:p>
    <w:p w14:paraId="18412B25" w14:textId="77777777" w:rsidR="005232EC" w:rsidRDefault="009F3EB0">
      <w:pPr>
        <w:spacing w:after="200"/>
      </w:pPr>
      <w:r>
        <w:rPr>
          <w:rFonts w:eastAsia="Times New Roman"/>
          <w:b/>
          <w:bCs/>
          <w:u w:val="single"/>
        </w:rPr>
        <w:t>Dataset Description</w:t>
      </w:r>
    </w:p>
    <w:p w14:paraId="18412B26" w14:textId="77777777" w:rsidR="005232EC" w:rsidRDefault="009F3EB0">
      <w:pPr>
        <w:spacing w:after="120"/>
      </w:pPr>
      <w:r>
        <w:rPr>
          <w:rFonts w:eastAsia="Times New Roman"/>
        </w:rPr>
        <w:t>The dataset is titled “NIH ChestX-ray14” and is provided by the NIH Clinical Center. This dataset contains 112,120 frontal-view chest X-ray PNG images at 1024×1024 resolution, collected from 30,805 unique patients. To ensure privacy, all data has been de-identified. Each image is annotated with one or more of 14 thoracic disease labels (Atelectasis, Cardiomegaly, Effusion, Infiltration, Mass, Nodule, Pneumonia, Pneumothorax, Consolidation, Edema, Emphysema, Fibrosis, Pleural Thickening, and Hernia), which were text-mined from associated radiology reports using NLP techniques with an estimated accuracy of over 90%. The primary purpose of this dataset is to facilitate the development of algorithms for automated thoracic disease detection. The total dataset size is approximately 42 GB.</w:t>
      </w:r>
    </w:p>
    <w:p w14:paraId="18412B27" w14:textId="77777777" w:rsidR="005232EC" w:rsidRDefault="009F3EB0">
      <w:pPr>
        <w:spacing w:after="200"/>
      </w:pPr>
      <w:r>
        <w:rPr>
          <w:rFonts w:eastAsia="Times New Roman"/>
          <w:b/>
          <w:bCs/>
          <w:u w:val="single"/>
        </w:rPr>
        <w:t>Data Source</w:t>
      </w:r>
    </w:p>
    <w:p w14:paraId="18412B29" w14:textId="080890B8" w:rsidR="005232EC" w:rsidRDefault="00B2284B">
      <w:pPr>
        <w:spacing w:after="80"/>
      </w:pPr>
      <w:hyperlink r:id="rId7" w:history="1">
        <w:r w:rsidRPr="00B2284B">
          <w:rPr>
            <w:rStyle w:val="a5"/>
            <w:rFonts w:eastAsia="Times New Roman"/>
          </w:rPr>
          <w:t>https://www.kaggle.com/datasets/nih-chest-xrays/data</w:t>
        </w:r>
      </w:hyperlink>
    </w:p>
    <w:sectPr w:rsidR="005232EC">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C698D" w14:textId="77777777" w:rsidR="00212F40" w:rsidRDefault="00212F40" w:rsidP="00D1355C">
      <w:r>
        <w:separator/>
      </w:r>
    </w:p>
  </w:endnote>
  <w:endnote w:type="continuationSeparator" w:id="0">
    <w:p w14:paraId="540E88AF" w14:textId="77777777" w:rsidR="00212F40" w:rsidRDefault="00212F40" w:rsidP="00D13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A8309" w14:textId="77777777" w:rsidR="00212F40" w:rsidRDefault="00212F40" w:rsidP="00D1355C">
      <w:r>
        <w:separator/>
      </w:r>
    </w:p>
  </w:footnote>
  <w:footnote w:type="continuationSeparator" w:id="0">
    <w:p w14:paraId="2896F1EE" w14:textId="77777777" w:rsidR="00212F40" w:rsidRDefault="00212F40" w:rsidP="00D135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E1121"/>
    <w:multiLevelType w:val="hybridMultilevel"/>
    <w:tmpl w:val="A4141276"/>
    <w:lvl w:ilvl="0" w:tplc="AE8248DA">
      <w:start w:val="1"/>
      <w:numFmt w:val="bullet"/>
      <w:lvlText w:val="●"/>
      <w:lvlJc w:val="left"/>
      <w:pPr>
        <w:ind w:left="720" w:hanging="360"/>
      </w:pPr>
    </w:lvl>
    <w:lvl w:ilvl="1" w:tplc="57DCEF12">
      <w:start w:val="1"/>
      <w:numFmt w:val="bullet"/>
      <w:lvlText w:val="○"/>
      <w:lvlJc w:val="left"/>
      <w:pPr>
        <w:ind w:left="1440" w:hanging="360"/>
      </w:pPr>
    </w:lvl>
    <w:lvl w:ilvl="2" w:tplc="0A20B6E8">
      <w:start w:val="1"/>
      <w:numFmt w:val="bullet"/>
      <w:lvlText w:val="■"/>
      <w:lvlJc w:val="left"/>
      <w:pPr>
        <w:ind w:left="2160" w:hanging="360"/>
      </w:pPr>
    </w:lvl>
    <w:lvl w:ilvl="3" w:tplc="883AB13C">
      <w:start w:val="1"/>
      <w:numFmt w:val="bullet"/>
      <w:lvlText w:val="●"/>
      <w:lvlJc w:val="left"/>
      <w:pPr>
        <w:ind w:left="2880" w:hanging="360"/>
      </w:pPr>
    </w:lvl>
    <w:lvl w:ilvl="4" w:tplc="DBA4AF3C">
      <w:start w:val="1"/>
      <w:numFmt w:val="bullet"/>
      <w:lvlText w:val="○"/>
      <w:lvlJc w:val="left"/>
      <w:pPr>
        <w:ind w:left="3600" w:hanging="360"/>
      </w:pPr>
    </w:lvl>
    <w:lvl w:ilvl="5" w:tplc="1BAE374A">
      <w:start w:val="1"/>
      <w:numFmt w:val="bullet"/>
      <w:lvlText w:val="■"/>
      <w:lvlJc w:val="left"/>
      <w:pPr>
        <w:ind w:left="4320" w:hanging="360"/>
      </w:pPr>
    </w:lvl>
    <w:lvl w:ilvl="6" w:tplc="8E2A4470">
      <w:start w:val="1"/>
      <w:numFmt w:val="bullet"/>
      <w:lvlText w:val="●"/>
      <w:lvlJc w:val="left"/>
      <w:pPr>
        <w:ind w:left="5040" w:hanging="360"/>
      </w:pPr>
    </w:lvl>
    <w:lvl w:ilvl="7" w:tplc="115E956C">
      <w:start w:val="1"/>
      <w:numFmt w:val="bullet"/>
      <w:lvlText w:val="●"/>
      <w:lvlJc w:val="left"/>
      <w:pPr>
        <w:ind w:left="5760" w:hanging="360"/>
      </w:pPr>
    </w:lvl>
    <w:lvl w:ilvl="8" w:tplc="D92AC47A">
      <w:start w:val="1"/>
      <w:numFmt w:val="bullet"/>
      <w:lvlText w:val="●"/>
      <w:lvlJc w:val="left"/>
      <w:pPr>
        <w:ind w:left="6480" w:hanging="360"/>
      </w:pPr>
    </w:lvl>
  </w:abstractNum>
  <w:num w:numId="1" w16cid:durableId="883533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2EC"/>
    <w:rsid w:val="00212F40"/>
    <w:rsid w:val="005232EC"/>
    <w:rsid w:val="00536689"/>
    <w:rsid w:val="00574ABB"/>
    <w:rsid w:val="005C5E3A"/>
    <w:rsid w:val="0072244B"/>
    <w:rsid w:val="00762081"/>
    <w:rsid w:val="009F3881"/>
    <w:rsid w:val="009F3EB0"/>
    <w:rsid w:val="00AD38A1"/>
    <w:rsid w:val="00B2284B"/>
    <w:rsid w:val="00D135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412B16"/>
  <w15:docId w15:val="{3F8026CA-0F8D-4F42-8E42-CE3BB42A3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D1355C"/>
    <w:pPr>
      <w:tabs>
        <w:tab w:val="center" w:pos="4320"/>
        <w:tab w:val="right" w:pos="8640"/>
      </w:tabs>
    </w:pPr>
  </w:style>
  <w:style w:type="character" w:customStyle="1" w:styleId="ad">
    <w:name w:val="页眉 字符"/>
    <w:basedOn w:val="a0"/>
    <w:link w:val="ac"/>
    <w:uiPriority w:val="99"/>
    <w:rsid w:val="00D1355C"/>
  </w:style>
  <w:style w:type="paragraph" w:styleId="ae">
    <w:name w:val="footer"/>
    <w:basedOn w:val="a"/>
    <w:link w:val="af"/>
    <w:uiPriority w:val="99"/>
    <w:unhideWhenUsed/>
    <w:rsid w:val="00D1355C"/>
    <w:pPr>
      <w:tabs>
        <w:tab w:val="center" w:pos="4320"/>
        <w:tab w:val="right" w:pos="8640"/>
      </w:tabs>
    </w:pPr>
  </w:style>
  <w:style w:type="character" w:customStyle="1" w:styleId="af">
    <w:name w:val="页脚 字符"/>
    <w:basedOn w:val="a0"/>
    <w:link w:val="ae"/>
    <w:uiPriority w:val="99"/>
    <w:rsid w:val="00D1355C"/>
  </w:style>
  <w:style w:type="character" w:styleId="af0">
    <w:name w:val="Unresolved Mention"/>
    <w:basedOn w:val="a0"/>
    <w:uiPriority w:val="99"/>
    <w:semiHidden/>
    <w:unhideWhenUsed/>
    <w:rsid w:val="00B2284B"/>
    <w:rPr>
      <w:color w:val="605E5C"/>
      <w:shd w:val="clear" w:color="auto" w:fill="E1DFDD"/>
    </w:rPr>
  </w:style>
  <w:style w:type="character" w:styleId="af1">
    <w:name w:val="FollowedHyperlink"/>
    <w:basedOn w:val="a0"/>
    <w:uiPriority w:val="99"/>
    <w:semiHidden/>
    <w:unhideWhenUsed/>
    <w:rsid w:val="00B2284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nih-chest-xrays/d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649</Words>
  <Characters>4120</Characters>
  <Application>Microsoft Office Word</Application>
  <DocSecurity>0</DocSecurity>
  <Lines>64</Lines>
  <Paragraphs>22</Paragraphs>
  <ScaleCrop>false</ScaleCrop>
  <Company/>
  <LinksUpToDate>false</LinksUpToDate>
  <CharactersWithSpaces>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Zhenyu Dai</cp:lastModifiedBy>
  <cp:revision>3</cp:revision>
  <dcterms:created xsi:type="dcterms:W3CDTF">2026-03-11T17:09:00Z</dcterms:created>
  <dcterms:modified xsi:type="dcterms:W3CDTF">2026-03-11T19:48:00Z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d523e29f-9dd4-4581-b8aa-ce832ded50fc</vt:lpwstr>
  </property>
</Properties>
</file>