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200"/>
        <w:jc w:val="center"/>
      </w:pPr>
      <w:r>
        <w:rPr>
          <w:rFonts w:ascii="Calibri" w:hAnsi="Calibri" w:eastAsia="微软雅黑"/>
          <w:b/>
          <w:color w:val="0B2545"/>
          <w:sz w:val="50"/>
        </w:rPr>
        <w:t>经济时间序列讲义</w:t>
      </w:r>
    </w:p>
    <w:p>
      <w:pPr>
        <w:spacing w:after="360"/>
        <w:jc w:val="center"/>
      </w:pPr>
      <w:r>
        <w:rPr>
          <w:rFonts w:ascii="Calibri" w:hAnsi="Calibri" w:eastAsia="微软雅黑"/>
          <w:color w:val="445A70"/>
          <w:sz w:val="28"/>
        </w:rPr>
        <w:t>第1章  差分方程与经济动态</w:t>
      </w:r>
    </w:p>
    <w:p>
      <w:pPr>
        <w:jc w:val="center"/>
      </w:pPr>
      <w:r>
        <w:rPr>
          <w:rFonts w:ascii="Calibri" w:hAnsi="Calibri" w:eastAsia="宋体"/>
          <w:color w:val="505050"/>
          <w:sz w:val="24"/>
        </w:rPr>
        <w:t>面向应用经济学硕士生与低年级博士生</w:t>
      </w:r>
    </w:p>
    <w:p>
      <w:pPr>
        <w:spacing w:before="760"/>
        <w:jc w:val="center"/>
      </w:pPr>
      <w:r>
        <w:rPr>
          <w:rFonts w:ascii="Calibri" w:hAnsi="Calibri" w:eastAsia="宋体"/>
          <w:color w:val="646464"/>
          <w:sz w:val="21"/>
        </w:rPr>
        <w:t>依据 Walter Enders《Applied Econometric Time Series》第1章重构</w:t>
        <w:br/>
        <w:t>中文原创教学版</w:t>
      </w:r>
    </w:p>
    <w:p>
      <w:r>
        <w:br w:type="page"/>
      </w:r>
    </w:p>
    <w:p>
      <w:pPr>
        <w:pStyle w:val="Heading1"/>
      </w:pPr>
      <w:r>
        <w:t>本章导读</w:t>
      </w:r>
    </w:p>
    <w:p>
      <w:pPr>
        <w:ind w:firstLine="420"/>
      </w:pPr>
      <w:r>
        <w:rPr>
          <w:rFonts w:ascii="Calibri" w:hAnsi="Calibri" w:eastAsia="宋体"/>
          <w:sz w:val="21"/>
        </w:rPr>
        <w:t>本章不是把差分方程当作纯粹的数学预备知识，而是把它视为描述经济系统跨期调整的语言。一个经济变量之所以需要时间序列模型，是因为它通常既继承过去状态，也受到当期新信息和随机冲击的影响。后续的 ARMA、单位根、VAR、协整和误差修正模型，都可以在这一框架下理解。</w:t>
      </w:r>
    </w:p>
    <w:p>
      <w:pPr>
        <w:pStyle w:val="Heading2"/>
      </w:pPr>
      <w:r>
        <w:t>学习目标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能够用“状态、冲击、传导、均衡和预测”解释一个动态经济模型；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能够区分结构式方程与简化式方程，并说明二者的用途；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掌握一阶与二阶线性差分方程的基本求解思路；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理解稳定性、特征根、初始条件、特解和齐次解的经济含义；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能够使用滞后算子简洁地表示动态模型；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能够判断后顾型与前瞻型模型在求解逻辑上的差别。</w:t>
      </w:r>
    </w:p>
    <w:p>
      <w:pPr>
        <w:pStyle w:val="Heading2"/>
      </w:pPr>
      <w:r>
        <w:t>建议授课安排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 w:type="dxa"/>
        <w:gridCol w:w="4082" w:type="dxa"/>
        <w:gridCol w:w="3912" w:type="dxa"/>
      </w:tblGrid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课时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课堂重点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宋体"/>
                <w:sz w:val="19"/>
              </w:rPr>
              <w:t>第1次</w:t>
            </w:r>
          </w:p>
        </w:tc>
        <w:tc>
          <w:tcPr>
            <w:tcW w:type="dxa" w:w="4082"/>
          </w:tcPr>
          <w:p>
            <w:r>
              <w:rPr>
                <w:rFonts w:ascii="Calibri" w:hAnsi="Calibri" w:eastAsia="宋体"/>
                <w:sz w:val="19"/>
              </w:rPr>
              <w:t>1.1 时间序列模型；随机游走；结构式与简化式；误差修正</w:t>
            </w:r>
          </w:p>
        </w:tc>
        <w:tc>
          <w:tcPr>
            <w:tcW w:type="dxa" w:w="3912"/>
          </w:tcPr>
          <w:p>
            <w:r>
              <w:rPr>
                <w:rFonts w:ascii="Calibri" w:hAnsi="Calibri" w:eastAsia="宋体"/>
                <w:sz w:val="19"/>
              </w:rPr>
              <w:t>动态建模为何是时间序列分析的起点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宋体"/>
                <w:sz w:val="19"/>
              </w:rPr>
              <w:t>第2次</w:t>
            </w:r>
          </w:p>
        </w:tc>
        <w:tc>
          <w:tcPr>
            <w:tcW w:type="dxa" w:w="4082"/>
          </w:tcPr>
          <w:p>
            <w:r>
              <w:rPr>
                <w:rFonts w:ascii="Calibri" w:hAnsi="Calibri" w:eastAsia="宋体"/>
                <w:sz w:val="19"/>
              </w:rPr>
              <w:t>1.2 差分方程及其解；迭代法；稳定性；蛛网模型</w:t>
            </w:r>
          </w:p>
        </w:tc>
        <w:tc>
          <w:tcPr>
            <w:tcW w:type="dxa" w:w="3912"/>
          </w:tcPr>
          <w:p>
            <w:r>
              <w:rPr>
                <w:rFonts w:ascii="Calibri" w:hAnsi="Calibri" w:eastAsia="宋体"/>
                <w:sz w:val="19"/>
              </w:rPr>
              <w:t>冲击会消失、持续还是放大</w:t>
            </w:r>
          </w:p>
        </w:tc>
      </w:tr>
      <w:tr>
        <w:tc>
          <w:tcPr>
            <w:tcW w:type="dxa" w:w="1361"/>
          </w:tcPr>
          <w:p>
            <w:r>
              <w:rPr>
                <w:rFonts w:ascii="Calibri" w:hAnsi="Calibri" w:eastAsia="宋体"/>
                <w:sz w:val="19"/>
              </w:rPr>
              <w:t>第3次</w:t>
            </w:r>
          </w:p>
        </w:tc>
        <w:tc>
          <w:tcPr>
            <w:tcW w:type="dxa" w:w="4082"/>
          </w:tcPr>
          <w:p>
            <w:r>
              <w:rPr>
                <w:rFonts w:ascii="Calibri" w:hAnsi="Calibri" w:eastAsia="宋体"/>
                <w:sz w:val="19"/>
              </w:rPr>
              <w:t>高阶方程、特解、滞后算子、前瞻与后顾型解</w:t>
            </w:r>
          </w:p>
        </w:tc>
        <w:tc>
          <w:tcPr>
            <w:tcW w:type="dxa" w:w="3912"/>
          </w:tcPr>
          <w:p>
            <w:r>
              <w:rPr>
                <w:rFonts w:ascii="Calibri" w:hAnsi="Calibri" w:eastAsia="宋体"/>
                <w:sz w:val="19"/>
              </w:rPr>
              <w:t>从经济模型走向可估计的时间序列形式</w:t>
            </w:r>
          </w:p>
        </w:tc>
      </w:tr>
    </w:tbl>
    <w:p>
      <w:pPr>
        <w:pStyle w:val="Heading1"/>
      </w:pPr>
      <w:r>
        <w:t>1.1 时间序列模型</w:t>
      </w:r>
    </w:p>
    <w:p>
      <w:pPr>
        <w:ind w:firstLine="420"/>
      </w:pPr>
      <w:r>
        <w:rPr>
          <w:rFonts w:ascii="Calibri" w:hAnsi="Calibri" w:eastAsia="宋体"/>
          <w:sz w:val="21"/>
        </w:rPr>
        <w:t>时间序列是按时间顺序记录的同一变量的一组观测值，通常写作 {yₜ}。它与横截面数据的根本差异在于：观测值的先后顺序本身包含信息。今天的通胀、价格、投资和产出往往依赖过去的状态；一个意外冲击也可能通过滞后关系持续影响未来。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4" w:type="dxa"/>
      </w:tblGrid>
      <w:tr>
        <w:tc>
          <w:tcPr>
            <w:tcW w:type="dxa" w:w="9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  <w:sz w:val="21"/>
              </w:rPr>
              <w:t xml:space="preserve">核心观点  </w:t>
            </w:r>
            <w:r>
              <w:rPr>
                <w:rFonts w:ascii="Calibri" w:hAnsi="Calibri" w:eastAsia="宋体"/>
                <w:sz w:val="21"/>
              </w:rPr>
              <w:t>时间序列模型首先是一套关于“冲击如何跨期传导”的经济动态模型；统计估计与预测建立在这一动态结构之上。</w:t>
            </w:r>
          </w:p>
        </w:tc>
      </w:tr>
    </w:tbl>
    <w:p>
      <w:pPr>
        <w:spacing w:after="40"/>
      </w:pPr>
    </w:p>
    <w:p>
      <w:pPr>
        <w:pStyle w:val="Heading2"/>
      </w:pPr>
      <w:r>
        <w:t>一、分解视角：趋势、季节与不规则波动</w:t>
      </w:r>
    </w:p>
    <w:p>
      <w:pPr>
        <w:ind w:firstLine="420"/>
      </w:pPr>
      <w:r>
        <w:rPr>
          <w:rFonts w:ascii="Calibri" w:hAnsi="Calibri" w:eastAsia="宋体"/>
          <w:sz w:val="21"/>
        </w:rPr>
        <w:t>传统预测方法常将观测序列理解为若干成分的叠加。最简单的加法分解可写为：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Tₜ + Sₜ + Iₜ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其中，Tₜ 为趋势成分，刻画长期水平或长期增长；Sₜ 为季节成分，刻画固定周期的规律性波动；Iₜ 为不规则成分，刻画未被趋势和季节解释的短期扰动。现代观点进一步强调：三个部分都可能含有随机性，因此分解本身也是一个需要估计的问题。</w:t>
      </w:r>
    </w:p>
    <w:p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ers_figure_1_1_reconstru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宋体"/>
          <w:i/>
          <w:color w:val="5A5A5A"/>
          <w:sz w:val="19"/>
        </w:rPr>
        <w:t>图1.1  假想时间序列的重建图。趋势、季节和不规则项按教材给出的运动方程生成；未来期令新扰动为零。</w:t>
      </w:r>
    </w:p>
    <w:p>
      <w:pPr>
        <w:ind w:firstLine="420"/>
      </w:pPr>
      <w:r>
        <w:rPr>
          <w:rFonts w:ascii="Calibri" w:hAnsi="Calibri" w:eastAsia="宋体"/>
          <w:sz w:val="21"/>
        </w:rPr>
        <w:t>图中的具体设定为：趋势项以固定速度增长，季节项每12期循环，不规则项则具有正相关性。若观察到第50期，短期预测仍会利用当前不规则项的惯性；但随着预测期延长，其影响会逐渐消退。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Tₜ = 1 + 0.1t   ；    Sₜ = 1.6 sin(tπ/6)    ；    Iₜ = 0.7Iₜ₋₁ + εₜ</m:t>
          </m:r>
        </m:oMath>
      </m:oMathPara>
    </w:p>
    <w:p>
      <w:pPr>
        <w:pStyle w:val="Heading2"/>
      </w:pPr>
      <w:r>
        <w:t>二、差分方程的含义</w:t>
      </w:r>
    </w:p>
    <w:p>
      <w:pPr>
        <w:ind w:firstLine="420"/>
      </w:pPr>
      <w:r>
        <w:rPr>
          <w:rFonts w:ascii="Calibri" w:hAnsi="Calibri" w:eastAsia="宋体"/>
          <w:sz w:val="21"/>
        </w:rPr>
        <w:t>一般而言，差分方程把变量当前值写成其自身滞后值、时间以及其他变量的函数。例如，Iₜ = 0.7Iₜ₋₁ + εₜ 表示：本期不规则项由上一期不规则项的70%与本期不可预期冲击共同决定。系数0.7刻画冲击的持续性。</w:t>
      </w:r>
    </w:p>
    <w:p>
      <w:pPr>
        <w:ind w:firstLine="420"/>
      </w:pPr>
      <w:r>
        <w:rPr>
          <w:rFonts w:ascii="Calibri" w:hAnsi="Calibri" w:eastAsia="宋体"/>
          <w:sz w:val="21"/>
        </w:rPr>
        <w:t>时间序列计量经济学关心的并非任意差分方程，而是包含随机成分的差分方程。研究者既可以估计单变量序列的规律，也可以研究多个相互作用的经济变量。</w:t>
      </w:r>
    </w:p>
    <w:p>
      <w:pPr>
        <w:pStyle w:val="Heading2"/>
      </w:pPr>
      <w:r>
        <w:t>三、四类经济动态模型</w:t>
      </w:r>
    </w:p>
    <w:p>
      <w:pPr>
        <w:pStyle w:val="Heading3"/>
      </w:pPr>
      <w:r>
        <w:t>1. 随机游走与有效市场直觉</w:t>
      </w:r>
    </w:p>
    <w:p>
      <w:pPr>
        <w:ind w:firstLine="420"/>
      </w:pPr>
      <w:r>
        <w:rPr>
          <w:rFonts w:ascii="Calibri" w:hAnsi="Calibri" w:eastAsia="宋体"/>
          <w:sz w:val="21"/>
        </w:rPr>
        <w:t>若市场中不存在可利用的系统性预期收益，股票价格对数的变化可被近似为纯创新：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yₜ₊₁ = yₜ + εₜ₊₁    ⇔    Δyₜ₊₁ = εₜ₊₁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在更一般的检验式中，随机游走要求截距和水平项均为零：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Δyₜ₊₁ = a₀ + a₁yₜ + εₜ₊₁    ，随机游走的约束为 a₀ = a₁ = 0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这同时要求在第t期的信息集下，下一期创新的条件均值为零。注意：随机游走并不等于价格没有波动，而是指价格变化缺少可以稳定利用的可预测成分。</w:t>
      </w:r>
    </w:p>
    <w:p>
      <w:pPr>
        <w:pStyle w:val="Heading3"/>
      </w:pPr>
      <w:r>
        <w:t>2. 结构式与简化式：Samuelson 乘数—加速数模型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cₜ + iₜ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cₜ = αyₜ₋₁ + εcₜ    ，0 &lt; α &lt; 1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iₜ = β(cₜ − cₜ₋₁) + εiₜ    ，β &gt; 0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第一式是收入恒等式；第二式表示消费随滞后收入而调整；第三式表示投资受消费变化驱动。由于投资方程中的当期消费 cₜ 也是内生变量，第三式属于结构式方程。</w:t>
      </w:r>
    </w:p>
    <w:p>
      <w:pPr>
        <w:ind w:firstLine="420"/>
      </w:pPr>
      <w:r>
        <w:rPr>
          <w:rFonts w:ascii="Calibri" w:hAnsi="Calibri" w:eastAsia="宋体"/>
          <w:sz w:val="21"/>
        </w:rPr>
        <w:t>将消费方程及其滞后形式代入，可以把系统化为仅含GDP自身滞后项的单变量简化式：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α(1 + β)yₜ₋₁ − αβyₜ₋₂ + xₜ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简化式的价值在于预测：只要估计出参数，并观测到过去的GDP，就能递推预测未来GDP。不过，简化式本身不自动揭示结构参数的经济含义；从简化式恢复结构机制需要额外的识别限制。</w:t>
      </w:r>
    </w:p>
    <w:p>
      <w:pPr>
        <w:pStyle w:val="Heading3"/>
      </w:pPr>
      <w:r>
        <w:t>3. 误差修正：即期与远期汇率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sₜ₊₁ = fₜ + εₜ₊₁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无偏远期汇率假说认为，当前远期汇率 fₜ 是下一期即期汇率 sₜ₊₁ 的无偏预测。当即期与远期价格偏离长期均衡时，之后的变动会部分纠正这一偏离：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sₜ₊₂ = sₜ₊₁ − α(sₜ₊₁ − fₜ) + εs,ₜ₊₂    ，α &gt; 0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fₜ₊₁ = fₜ + β(sₜ₊₁ − fₜ) + εf,ₜ₊₁    ，β &gt; 0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括号中的差额是上一期的均衡误差。若 sₜ₊₁ 高于 fₜ，则模型预测即期价格下调、远期价格上调，从而缩小偏离。这一逻辑将在协整与误差修正模型中再次出现。</w:t>
      </w:r>
    </w:p>
    <w:p>
      <w:pPr>
        <w:pStyle w:val="Heading3"/>
      </w:pPr>
      <w:r>
        <w:t>4. 非线性动态：正负冲击的反应可能不同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iₜ = β₁(cₜ − cₜ₋₁) − λₜβ₂(cₜ − cₜ₋₁) + εiₜ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令 λₜ 在消费下降时取1、其他时候取0，并假定 β₁ &gt; β₂ &gt; 0。于是，消费增加时投资对变化的反应系数为 β₁；消费减少时，反应系数为 β₁ − β₂。该设定刻画了企业可能更积极响应需求扩张、却对需求收缩调整较慢的现实。</w:t>
      </w:r>
    </w:p>
    <w:p>
      <w:pPr>
        <w:pStyle w:val="Heading1"/>
      </w:pPr>
      <w:r>
        <w:t>1.2 差分方程及其解</w:t>
      </w:r>
    </w:p>
    <w:p>
      <w:pPr>
        <w:ind w:firstLine="420"/>
      </w:pPr>
      <w:r>
        <w:rPr>
          <w:rFonts w:ascii="Calibri" w:hAnsi="Calibri" w:eastAsia="宋体"/>
          <w:sz w:val="21"/>
        </w:rPr>
        <w:t>差分方程是在离散时间中描述变量变化的方程。所谓“求解”，不是只找一个数值，而是给定初始条件和冲击序列后，找出变量在每个未来时期的完整路径。</w:t>
      </w:r>
    </w:p>
    <w:p>
      <w:pPr>
        <w:pStyle w:val="Heading2"/>
      </w:pPr>
      <w:r>
        <w:t>一、基本形式、初始条件与稳态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 + byₜ₋₁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这是最简单的一阶线性差分方程。参数a表示每期固定推动项，b表示上一期状态的保留比例。若系统存在稳态 y*，则在稳态中 yₜ = yₜ₋₁ = y*，故：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y* = a/(1 − b)    ，b ≠ 1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稳态不是样本均值，也不是任一期的观测值；它是模型隐含的长期位置。初始值 y₀ 决定系统从哪里出发，参数b决定它向稳态调整的方式和速度。</w:t>
      </w:r>
    </w:p>
    <w:p>
      <w:pPr>
        <w:pStyle w:val="Heading2"/>
      </w:pPr>
      <w:r>
        <w:t>二、迭代法求解一阶方程</w:t>
      </w:r>
    </w:p>
    <w:p>
      <w:pPr>
        <w:ind w:firstLine="420"/>
      </w:pPr>
      <w:r>
        <w:rPr>
          <w:rFonts w:ascii="Calibri" w:hAnsi="Calibri" w:eastAsia="宋体"/>
          <w:sz w:val="21"/>
        </w:rPr>
        <w:t>把方程逐期代入：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y₁ = a + by₀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y₂ = a + b(a + by₀) = a(1 + b) + b²y₀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a(1 + b + ··· + bᵗ⁻¹) + bᵗy₀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利用等比数列求和，可将一般解写得更紧凑：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a(1 − bᵗ)/(1 − b) + bᵗy₀ = y* + bᵗ(y₀ − y*)</m:t>
          </m:r>
        </m:oMath>
      </m:oMathPara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4" w:type="dxa"/>
      </w:tblGrid>
      <w:tr>
        <w:tc>
          <w:tcPr>
            <w:tcW w:type="dxa" w:w="9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  <w:sz w:val="21"/>
              </w:rPr>
              <w:t xml:space="preserve">读式方法  </w:t>
            </w:r>
            <w:r>
              <w:rPr>
                <w:rFonts w:ascii="Calibri" w:hAnsi="Calibri" w:eastAsia="宋体"/>
                <w:sz w:val="21"/>
              </w:rPr>
              <w:t>第一项 y* 是长期位置；第二项 bᵗ(y₀ − y*) 是初始偏离在第t期仍残留的部分。它直接揭示了初始条件的影响何时消失。</w:t>
            </w:r>
          </w:p>
        </w:tc>
      </w:tr>
    </w:tbl>
    <w:p>
      <w:pPr>
        <w:spacing w:after="40"/>
      </w:pPr>
    </w:p>
    <w:p>
      <w:pPr>
        <w:pStyle w:val="Heading2"/>
      </w:pPr>
      <w:r>
        <w:t>三、稳定性与经济解释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1" w:type="dxa"/>
        <w:gridCol w:w="2721" w:type="dxa"/>
        <w:gridCol w:w="4762" w:type="dxa"/>
      </w:tblGrid>
      <w:tr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参数条件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动态表现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经济解释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 w:eastAsia="宋体"/>
                <w:sz w:val="19"/>
              </w:rPr>
              <w:t>0 &lt; b &lt; 1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宋体"/>
                <w:sz w:val="19"/>
              </w:rPr>
              <w:t>单调收敛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宋体"/>
                <w:sz w:val="19"/>
              </w:rPr>
              <w:t>冲击逐期衰减，变量从一侧回到稳态。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 w:eastAsia="宋体"/>
                <w:sz w:val="19"/>
              </w:rPr>
              <w:t>−1 &lt; b &lt; 0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宋体"/>
                <w:sz w:val="19"/>
              </w:rPr>
              <w:t>振荡收敛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宋体"/>
                <w:sz w:val="19"/>
              </w:rPr>
              <w:t>变量在稳态两侧来回调整，但幅度逐渐缩小。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 w:eastAsia="宋体"/>
                <w:sz w:val="19"/>
              </w:rPr>
              <w:t>b = 1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宋体"/>
                <w:sz w:val="19"/>
              </w:rPr>
              <w:t>不回归稳态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宋体"/>
                <w:sz w:val="19"/>
              </w:rPr>
              <w:t>固定冲击会永久累积；加入随机项后是随机游走的基本形式。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 w:eastAsia="宋体"/>
                <w:sz w:val="19"/>
              </w:rPr>
              <w:t>|b| &gt; 1</w:t>
            </w:r>
          </w:p>
        </w:tc>
        <w:tc>
          <w:tcPr>
            <w:tcW w:type="dxa" w:w="2721"/>
          </w:tcPr>
          <w:p>
            <w:r>
              <w:rPr>
                <w:rFonts w:ascii="Calibri" w:hAnsi="Calibri" w:eastAsia="宋体"/>
                <w:sz w:val="19"/>
              </w:rPr>
              <w:t>发散</w:t>
            </w:r>
          </w:p>
        </w:tc>
        <w:tc>
          <w:tcPr>
            <w:tcW w:type="dxa" w:w="4762"/>
          </w:tcPr>
          <w:p>
            <w:r>
              <w:rPr>
                <w:rFonts w:ascii="Calibri" w:hAnsi="Calibri" w:eastAsia="宋体"/>
                <w:sz w:val="19"/>
              </w:rPr>
              <w:t>初始偏离和冲击不断被放大，线性系统不稳定。</w:t>
            </w:r>
          </w:p>
        </w:tc>
      </w:tr>
    </w:tbl>
    <w:p>
      <w:pPr>
        <w:pStyle w:val="Heading2"/>
      </w:pPr>
      <w:r>
        <w:t>四、加入随机扰动：从差分方程到AR(1)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 + byₜ₋₁ + εₜ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现在 εₜ 表示当期无法由过去信息预见的冲击。不断迭代后：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aΣⱼ₌₀ᵗ⁻¹bʲ + bᵗy₀ + Σⱼ₌₀ᵗ⁻¹bʲεₜ₋ⱼ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当 |b| &lt; 1 且样本足够长时，初始条件的影响趋于零，可写为：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a/(1 − b) + εₜ + bεₜ₋₁ + b²εₜ₋₂ + ···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该表达式说明：当前值是长期均值加上当前和全部过去冲击的加权和。越久远的冲击权重越小。这正是平稳AR过程、冲击响应和预测递推的共同基础。</w:t>
      </w:r>
    </w:p>
    <w:p>
      <w:pPr>
        <w:pStyle w:val="Heading1"/>
      </w:pPr>
      <w:r>
        <w:t>1.3 迭代、预测与冲击传导</w:t>
      </w:r>
    </w:p>
    <w:p>
      <w:pPr>
        <w:pStyle w:val="Heading2"/>
      </w:pPr>
      <w:r>
        <w:t>一、条件预测</w:t>
      </w:r>
    </w:p>
    <w:p>
      <w:pPr>
        <w:ind w:firstLine="420"/>
      </w:pPr>
      <w:r>
        <w:rPr>
          <w:rFonts w:ascii="Calibri" w:hAnsi="Calibri" w:eastAsia="宋体"/>
          <w:sz w:val="21"/>
        </w:rPr>
        <w:t>若已知第t期信息，且未来创新的条件期望为零，一步预测为：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Eₜ(yₜ₊₁) = a + byₜ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h步预测为：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Eₜ(yₜ₊ₕ) = y* + bʰ(yₜ − y*)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因此，短期预测保留当前状态的信息；预测期拉长后，预测值逐渐靠近长期均值。一个模型若声称长期预测仍高度依赖今天的偶然波动，就隐含其过程存在很强的持久性，甚至可能非平稳。</w:t>
      </w:r>
    </w:p>
    <w:p>
      <w:pPr>
        <w:pStyle w:val="Heading2"/>
      </w:pPr>
      <w:r>
        <w:t>二、脉冲响应的最简单形式</w:t>
      </w:r>
    </w:p>
    <w:p>
      <w:pPr>
        <w:ind w:firstLine="420"/>
      </w:pPr>
      <w:r>
        <w:rPr>
          <w:rFonts w:ascii="Calibri" w:hAnsi="Calibri" w:eastAsia="宋体"/>
          <w:sz w:val="21"/>
        </w:rPr>
        <w:t>若第t期出现一个单位正冲击，且模型为 yₜ = a + 0.7yₜ₋₁ + εₜ，则该冲击对各期的影响为：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第t期：1    ；    第t+1期：0.7    ；    第t+2期：0.49    ；    第t+3期：0.343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VAR模型中的脉冲响应函数只是这一逻辑在多变量系统中的推广：研究一个变量的意外变化如何经由动态关系影响其他变量。</w:t>
      </w:r>
    </w:p>
    <w:p>
      <w:pPr>
        <w:pStyle w:val="Heading1"/>
      </w:pPr>
      <w:r>
        <w:t>1.4 特征根法与高阶差分方程</w:t>
      </w:r>
    </w:p>
    <w:p>
      <w:pPr>
        <w:ind w:firstLine="420"/>
      </w:pPr>
      <w:r>
        <w:rPr>
          <w:rFonts w:ascii="Calibri" w:hAnsi="Calibri" w:eastAsia="宋体"/>
          <w:sz w:val="21"/>
        </w:rPr>
        <w:t>对高阶差分方程，逐期迭代会越来越繁琐。特征根法提供一种系统化工具。考虑二阶齐次方程：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a₁yₜ₋₁ + a₂yₜ₋₂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尝试令解具有指数形式 yₜ = rᵗ。代入得到特征方程：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r² − a₁r − a₂ = 0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若两个特征根 r₁、r₂ 不相等，则一般解为：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A₁r₁ᵗ + A₂r₂ᵗ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常数 A₁、A₂ 由两个初始条件确定。稳定性要求所有特征根的模小于1。若特征根为负数，路径会交替波动；若为共轭复根，路径会呈现阻尼周期；若某根的模大于1，系统会发散。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4" w:type="dxa"/>
      </w:tblGrid>
      <w:tr>
        <w:tc>
          <w:tcPr>
            <w:tcW w:type="dxa" w:w="9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  <w:sz w:val="21"/>
              </w:rPr>
              <w:t xml:space="preserve">与后续课程的联系  </w:t>
            </w:r>
            <w:r>
              <w:rPr>
                <w:rFonts w:ascii="Calibri" w:hAnsi="Calibri" w:eastAsia="宋体"/>
                <w:sz w:val="21"/>
              </w:rPr>
              <w:t>AR(2)平稳性、VAR稳定性、单位根检验中的根，以及协整系统的动态特征，本质上都在研究特征根的位置。</w:t>
            </w:r>
          </w:p>
        </w:tc>
      </w:tr>
    </w:tbl>
    <w:p>
      <w:pPr>
        <w:spacing w:after="40"/>
      </w:pPr>
    </w:p>
    <w:p>
      <w:pPr>
        <w:pStyle w:val="Heading1"/>
      </w:pPr>
      <w:r>
        <w:t>1.5 蛛网模型：供给滞后如何造成价格波动</w:t>
      </w:r>
    </w:p>
    <w:p>
      <w:pPr>
        <w:ind w:firstLine="420"/>
      </w:pPr>
      <w:r>
        <w:rPr>
          <w:rFonts w:ascii="Calibri" w:hAnsi="Calibri" w:eastAsia="宋体"/>
          <w:sz w:val="21"/>
        </w:rPr>
        <w:t>农业和初级产品市场常存在生产决策滞后。生产者依据上一期价格安排本期供给，而消费者的当期需求取决于当期价格。设：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需求：Qᵈₜ = α − βPₜ    ，β &gt; 0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供给：Qˢₜ = γ + δPₜ₋₁    ，δ &gt; 0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市场出清 Qᵈₜ = Qˢₜ 后可得到价格差分方程：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Pₜ = (α − γ)/β − (δ/β)Pₜ₋₁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这里的滞后系数为 −δ/β。由于它通常为负，价格会在均衡附近上下摆动。若 δ/β &lt; 1，波动逐步减弱；若 δ/β &gt; 1，波动会扩大。该模型提醒我们：价格振荡不一定来自外生冲击，也可能来自经济主体面对信息与生产滞后的理性调整。</w:t>
      </w:r>
    </w:p>
    <w:p>
      <w:pPr>
        <w:pStyle w:val="Heading1"/>
      </w:pPr>
      <w:r>
        <w:t>1.6 非齐次方程、特解与趋势</w:t>
      </w:r>
    </w:p>
    <w:p>
      <w:pPr>
        <w:ind w:firstLine="420"/>
      </w:pPr>
      <w:r>
        <w:rPr>
          <w:rFonts w:ascii="Calibri" w:hAnsi="Calibri" w:eastAsia="宋体"/>
          <w:sz w:val="21"/>
        </w:rPr>
        <w:t>当差分方程含有常数、时间趋势或外生变量时，完整解由“齐次解 + 特解”构成。以一阶方程 yₜ = a + byₜ₋₁ 为例，齐次部分 yₜ = byₜ₋₁ 给出 bᵗC；常数a产生的特解是稳态 a/(1−b)。</w:t>
      </w:r>
    </w:p>
    <w:p>
      <w:pPr>
        <w:ind w:firstLine="420"/>
      </w:pPr>
      <w:r>
        <w:rPr>
          <w:rFonts w:ascii="Calibri" w:hAnsi="Calibri" w:eastAsia="宋体"/>
          <w:sz w:val="21"/>
        </w:rPr>
        <w:t>若模型含有确定性趋势，例如：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 + ct + byₜ₋₁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通常可猜测一个线性特解 A + Bt，并代回原式确定A、B。这里的关键不是记住某个公式，而是理解：外生项的形式决定特解的形式；齐次部分决定初始偏离和冲击如何衰减或放大。</w:t>
      </w:r>
    </w:p>
    <w:p>
      <w:pPr>
        <w:pStyle w:val="Heading2"/>
      </w:pPr>
      <w:r>
        <w:t>待定系数法的操作步骤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先写出齐次差分方程，并求其通解；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根据外生项的形式猜测特解的形式：常数对应常数，线性时间趋势对应线性函数，指数项对应同类指数函数；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若猜测形式与齐次解重复，需要乘以t以避免重复；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将候选特解代回原方程，比较系数后求出未知参数；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用初始条件确定齐次解中的常数。</w:t>
      </w:r>
    </w:p>
    <w:p>
      <w:pPr>
        <w:pStyle w:val="Heading1"/>
      </w:pPr>
      <w:r>
        <w:t>1.7 滞后算子：压缩动态结构的记号</w:t>
      </w:r>
    </w:p>
    <w:p>
      <w:pPr>
        <w:ind w:firstLine="420"/>
      </w:pPr>
      <w:r>
        <w:rPr>
          <w:rFonts w:ascii="Calibri" w:hAnsi="Calibri" w:eastAsia="宋体"/>
          <w:sz w:val="21"/>
        </w:rPr>
        <w:t>滞后算子 L 的定义为：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Lyₜ = yₜ₋₁    ；    L²yₜ = yₜ₋₂    ；    Lᵏyₜ = yₜ₋ₖ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因此，AR(2)模型可写为：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− a₁yₜ₋₁ − a₂yₜ₋₂ = εₜ</m:t>
          </m:r>
        </m:oMath>
      </m:oMathPara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(1 − a₁L − a₂L²)yₜ = εₜ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记号上的好处是，它使多期滞后结构变成一个多项式。令 A(L)=1−a₁L−a₂L²，则模型写为 A(L)yₜ=εₜ。后续 ARMA 模型的平稳性与可逆性条件，正是通过这一类滞后多项式的根来表述。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4" w:type="dxa"/>
      </w:tblGrid>
      <w:tr>
        <w:tc>
          <w:tcPr>
            <w:tcW w:type="dxa" w:w="9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F4E78"/>
                <w:sz w:val="21"/>
              </w:rPr>
              <w:t xml:space="preserve">常见误解  </w:t>
            </w:r>
            <w:r>
              <w:rPr>
                <w:rFonts w:ascii="Calibri" w:hAnsi="Calibri" w:eastAsia="宋体"/>
                <w:sz w:val="21"/>
              </w:rPr>
              <w:t>L不是一个普通数值变量。它是作用于时间序列的算子；对不同对象作用时，必须保留其“向后移动时间下标”的含义。</w:t>
            </w:r>
          </w:p>
        </w:tc>
      </w:tr>
    </w:tbl>
    <w:p>
      <w:pPr>
        <w:spacing w:after="40"/>
      </w:pPr>
    </w:p>
    <w:p>
      <w:pPr>
        <w:pStyle w:val="Heading1"/>
      </w:pPr>
      <w:r>
        <w:t>1.8 后顾型与前瞻型模型</w:t>
      </w:r>
    </w:p>
    <w:p>
      <w:pPr>
        <w:ind w:firstLine="420"/>
      </w:pPr>
      <w:r>
        <w:rPr>
          <w:rFonts w:ascii="Calibri" w:hAnsi="Calibri" w:eastAsia="宋体"/>
          <w:sz w:val="21"/>
        </w:rPr>
        <w:t>后顾型模型使用已经实现的滞后变量，例如 yₜ = a + byₜ₋₁ + εₜ。给定初始值后，可以自然地向前迭代。前瞻型模型则含有预期或未来变量，例如：</w:t>
      </w:r>
    </w:p>
    <w:p>
      <w:pPr>
        <w:spacing w:before="80" w:after="100"/>
        <w:jc w:val="center"/>
      </w:pPr>
      <m:oMathPara>
        <m:oMath>
          <m:r>
            <m:rPr>
              <m:mathFont m:val="Cambria Math"/>
            </m:rPr>
            <m:t>yₜ = a + bEₜ(yₜ₊₁) + εₜ</m:t>
          </m:r>
        </m:oMath>
      </m:oMathPara>
    </w:p>
    <w:p>
      <w:pPr>
        <w:ind w:firstLine="420"/>
      </w:pPr>
      <w:r>
        <w:rPr>
          <w:rFonts w:ascii="Calibri" w:hAnsi="Calibri" w:eastAsia="宋体"/>
          <w:sz w:val="21"/>
        </w:rPr>
        <w:t>前瞻型模型不能只依靠初始值求解，因为当前决策取决于对未来的预期。通常还需要施加不爆炸条件或横截条件，以排除不合理的泡沫式路径。经济学上，这意味着模型必须同时满足行为方程与长期可持续性。</w:t>
      </w:r>
    </w:p>
    <w:p>
      <w:pPr>
        <w:ind w:firstLine="420"/>
      </w:pPr>
      <w:r>
        <w:rPr>
          <w:rFonts w:ascii="Calibri" w:hAnsi="Calibri" w:eastAsia="宋体"/>
          <w:sz w:val="21"/>
        </w:rPr>
        <w:t>这一差异很重要：后顾型模型强调过去状态的惯性；前瞻型模型强调预期如何把未来信息带回当前决策。宏观经济中的资产定价、汇率和新凯恩斯主义模型经常包含前瞻型成分。</w:t>
      </w:r>
    </w:p>
    <w:p>
      <w:pPr>
        <w:pStyle w:val="Heading1"/>
      </w:pPr>
      <w:r>
        <w:t>本章总结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差分方程是时间序列模型的动态骨架：它刻画变量如何由过去状态和新冲击共同决定。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稳态描述长期位置；稳定性描述初始偏离和冲击能否消失。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结构式服务于经济机制解释，简化式服务于预测和统计估计；由后者恢复前者需要识别限制。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随机游走、误差修正、蛛网模型和非线性调整说明，不同经济理论都能自然写成随机差分方程。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迭代法、特征根法与滞后算子，是从经济模型走向ARMA、VAR、单位根和协整分析的共同工具。</w:t>
      </w:r>
    </w:p>
    <w:p>
      <w:pPr>
        <w:pStyle w:val="Heading1"/>
      </w:pPr>
      <w:r>
        <w:t>课堂练习与讨论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设 yₜ = 2 + 0.6yₜ₋₁，且 y₀ = 0。计算 y₁、y₂、y₃，并求长期稳态。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若 yₜ = 2 − 0.5yₜ₋₁，说明其路径为何会围绕稳态振荡。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对 yₜ = yₜ₋₁ + εₜ，解释一个单位冲击对第t、t+1和t+10期的影响。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从 Samuelson 模型的三条结构式出发，说明为什么投资方程不是简化式。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在蛛网模型中，需求对价格越敏感意味着β越大。为什么这有助于稳定价格波动？</w:t>
      </w:r>
    </w:p>
    <w:p>
      <w:pPr>
        <w:pStyle w:val="ListNumber"/>
        <w:spacing w:after="60"/>
      </w:pPr>
      <w:r>
        <w:rPr>
          <w:rFonts w:ascii="Calibri" w:hAnsi="Calibri" w:eastAsia="宋体"/>
          <w:sz w:val="21"/>
        </w:rPr>
        <w:t>解释“能被过去值预测”与“由过去值因果导致”之间的区别。</w:t>
      </w:r>
    </w:p>
    <w:p>
      <w:pPr>
        <w:pStyle w:val="Heading2"/>
      </w:pPr>
      <w:r>
        <w:t>练习提示</w:t>
      </w:r>
    </w:p>
    <w:p>
      <w:pPr>
        <w:ind w:firstLine="0"/>
      </w:pPr>
      <w:r>
        <w:rPr>
          <w:rFonts w:ascii="Calibri" w:hAnsi="Calibri" w:eastAsia="宋体"/>
          <w:sz w:val="21"/>
        </w:rPr>
        <w:t>第1题的稳态为5，且路径单调收敛；第2题的稳态为4，负的滞后系数导致交替调整；第3题中冲击永久保留；第4题的关键是当期消费也是内生变量；第5题的稳定条件是 δ/β &lt; 1；第6题应区分预测关系、格兰杰意义与结构因果识别。</w:t>
      </w:r>
    </w:p>
    <w:p>
      <w:pPr>
        <w:pStyle w:val="Heading1"/>
      </w:pPr>
      <w:r>
        <w:t>符号表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 w:type="dxa"/>
        <w:gridCol w:w="7654" w:type="dxa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符号</w:t>
            </w:r>
          </w:p>
        </w:tc>
        <w:tc>
          <w:tcPr>
            <w:tcW w:type="dxa" w:w="7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yₜ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第t期目标变量，例如产出、价格或资产价格对数。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εₜ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第t期随机创新或不可预期冲击，通常假设条件均值为零。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Δ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一阶差分算子，Δyₜ = yₜ − yₜ₋₁。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L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滞后算子，Lyₜ = yₜ₋₁。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y*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模型隐含的稳态或长期均衡位置。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Eₜ(·)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在第t期信息集下的条件期望。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宋体"/>
                <w:sz w:val="19"/>
              </w:rPr>
              <w:t>α、β</w:t>
            </w:r>
          </w:p>
        </w:tc>
        <w:tc>
          <w:tcPr>
            <w:tcW w:type="dxa" w:w="7654"/>
          </w:tcPr>
          <w:p>
            <w:r>
              <w:rPr>
                <w:rFonts w:ascii="Calibri" w:hAnsi="Calibri" w:eastAsia="宋体"/>
                <w:sz w:val="19"/>
              </w:rPr>
              <w:t>经济行为关系中的参数；其经济解释取决于具体模型。</w:t>
            </w:r>
          </w:p>
        </w:tc>
      </w:tr>
    </w:tbl>
    <w:p>
      <w:pPr>
        <w:pStyle w:val="Heading1"/>
      </w:pPr>
      <w:r>
        <w:t>参考文献</w:t>
      </w:r>
    </w:p>
    <w:p>
      <w:pPr>
        <w:ind w:firstLine="0"/>
      </w:pPr>
      <w:r>
        <w:rPr>
          <w:rFonts w:ascii="Calibri" w:hAnsi="Calibri" w:eastAsia="宋体"/>
          <w:sz w:val="21"/>
        </w:rPr>
        <w:t>Enders, Walter. Applied Econometric Time Series. 4th ed. Wiley, 2015. 本讲义基于该书第1章的主题结构重新组织，以服务中文课堂教学；示例、解释与图形均为教学性重构。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color w:val="646464"/>
        <w:sz w:val="18"/>
      </w:rPr>
      <w:t xml:space="preserve">第 </w:t>
    </w:r>
    <w:fldSimple w:instr="PAGE"/>
    <w:r>
      <w:rPr>
        <w:rFonts w:ascii="Calibri" w:hAnsi="Calibri" w:eastAsia="宋体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经济时间序列讲义：第1章 差分方程与经济动态</dc:title>
  <dc:subject/>
  <dc:creator>课程教学讲义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