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asterTitle"/>
        <w:jc w:val="center"/>
      </w:pPr>
      <w:r>
        <w:t>HOSPITALPLATFORM</w:t>
      </w:r>
    </w:p>
    <w:p>
      <w:pPr>
        <w:pStyle w:val="Heading1"/>
        <w:jc w:val="center"/>
      </w:pPr>
      <w:r>
        <w:t>Documentación técnica completa</w:t>
      </w:r>
    </w:p>
    <w:p>
      <w:pPr>
        <w:pStyle w:val="Heading2"/>
        <w:jc w:val="center"/>
      </w:pPr>
      <w:r>
        <w:t>Agenda Availability y Specialty Policy</w:t>
      </w:r>
    </w:p>
    <w:p/>
    <w:p/>
    <w:p/>
    <w:p>
      <w:pPr>
        <w:jc w:val="center"/>
      </w:pPr>
      <w:r>
        <w:t>Caso de estudio académico de la plataforma digital para gestión de citas médicas del Hospital de Huaycán</w:t>
      </w:r>
    </w:p>
    <w:p>
      <w:pPr>
        <w:jc w:val="center"/>
      </w:pPr>
      <w:r>
        <w:t>Versión documental 1.0  |  30 de septiembre de 2026</w:t>
      </w:r>
    </w:p>
    <w:p>
      <w:r>
        <w:t>Este documento describe el backend comprobado, el alcance parcial, el diseño conceptual y el trabajo futuro. No representa aprobación institucional ni un sistema hospitalario terminado.</w:t>
      </w:r>
    </w:p>
    <w:p>
      <w:r>
        <w:br w:type="page"/>
      </w:r>
    </w:p>
    <w:p>
      <w:pPr>
        <w:pStyle w:val="Heading1"/>
      </w:pPr>
      <w:r>
        <w:t>Índice</w:t>
      </w:r>
    </w:p>
    <w:p>
      <w:r>
        <w:t>Seleccione una entrada para ir al capítulo. Los números de página figuran en el pie de cada página.</w:t>
      </w:r>
    </w:p>
    <w:p>
      <w:hyperlink w:anchor="chapter_1">
        <w:r>
          <w:rPr>
            <w:color w:val="17365D"/>
          </w:rPr>
          <w:t>1. Introducción del proyecto</w:t>
        </w:r>
      </w:hyperlink>
    </w:p>
    <w:p>
      <w:hyperlink w:anchor="chapter_2">
        <w:r>
          <w:rPr>
            <w:color w:val="17365D"/>
          </w:rPr>
          <w:t>2. Alcance actual</w:t>
        </w:r>
      </w:hyperlink>
    </w:p>
    <w:p>
      <w:hyperlink w:anchor="chapter_3">
        <w:r>
          <w:rPr>
            <w:color w:val="17365D"/>
          </w:rPr>
          <w:t>3. Requisitos y dominio</w:t>
        </w:r>
      </w:hyperlink>
    </w:p>
    <w:p>
      <w:hyperlink w:anchor="chapter_4">
        <w:r>
          <w:rPr>
            <w:color w:val="17365D"/>
          </w:rPr>
          <w:t>4. Arquitectura</w:t>
        </w:r>
      </w:hyperlink>
    </w:p>
    <w:p>
      <w:hyperlink w:anchor="chapter_5">
        <w:r>
          <w:rPr>
            <w:color w:val="17365D"/>
          </w:rPr>
          <w:t>5. Módulos y ownership</w:t>
        </w:r>
      </w:hyperlink>
    </w:p>
    <w:p>
      <w:hyperlink w:anchor="chapter_6">
        <w:r>
          <w:rPr>
            <w:color w:val="17365D"/>
          </w:rPr>
          <w:t>6. API y contratos</w:t>
        </w:r>
      </w:hyperlink>
    </w:p>
    <w:p>
      <w:hyperlink w:anchor="chapter_7">
        <w:r>
          <w:rPr>
            <w:color w:val="17365D"/>
          </w:rPr>
          <w:t>7. Seguridad</w:t>
        </w:r>
      </w:hyperlink>
    </w:p>
    <w:p>
      <w:hyperlink w:anchor="chapter_8">
        <w:r>
          <w:rPr>
            <w:color w:val="17365D"/>
          </w:rPr>
          <w:t>8. Modelo de datos</w:t>
        </w:r>
      </w:hyperlink>
    </w:p>
    <w:p>
      <w:hyperlink w:anchor="chapter_9">
        <w:r>
          <w:rPr>
            <w:color w:val="17365D"/>
          </w:rPr>
          <w:t>9. Testing</w:t>
        </w:r>
      </w:hyperlink>
    </w:p>
    <w:p>
      <w:hyperlink w:anchor="chapter_10">
        <w:r>
          <w:rPr>
            <w:color w:val="17365D"/>
          </w:rPr>
          <w:t>10. Agenda Availability y Specialty Policy</w:t>
        </w:r>
      </w:hyperlink>
    </w:p>
    <w:p>
      <w:hyperlink w:anchor="chapter_11">
        <w:r>
          <w:rPr>
            <w:color w:val="17365D"/>
          </w:rPr>
          <w:t>11. Casos de uso UML</w:t>
        </w:r>
      </w:hyperlink>
    </w:p>
    <w:p>
      <w:hyperlink w:anchor="chapter_12">
        <w:r>
          <w:rPr>
            <w:color w:val="17365D"/>
          </w:rPr>
          <w:t>12. Decisiones del dominio</w:t>
        </w:r>
      </w:hyperlink>
    </w:p>
    <w:p>
      <w:hyperlink w:anchor="chapter_13">
        <w:r>
          <w:rPr>
            <w:color w:val="17365D"/>
          </w:rPr>
          <w:t>13. Limitaciones y trabajo futuro</w:t>
        </w:r>
      </w:hyperlink>
    </w:p>
    <w:p>
      <w:hyperlink w:anchor="chapter_14">
        <w:r>
          <w:rPr>
            <w:color w:val="17365D"/>
          </w:rPr>
          <w:t>14. Anexos y fuentes</w:t>
        </w:r>
      </w:hyperlink>
    </w:p>
    <w:p>
      <w:r>
        <w:br w:type="page"/>
      </w:r>
    </w:p>
    <w:p>
      <w:bookmarkStart w:id="1" w:name="chapter_1"/>
      <w:pPr>
        <w:pStyle w:val="Heading1"/>
      </w:pPr>
      <w:r>
        <w:t>1. Introducción del proyecto</w:t>
      </w:r>
      <w:bookmarkEnd w:id="1"/>
    </w:p>
    <w:p>
      <w:r>
        <w:t>HOSPITALPLATFORM es un caso de estudio académico para gestionar citas médicas ambulatorias. El producto ejecutable comprobado es un backend modular Spring Boot con identidad, gestión administrativa básica, agendas, consulta operativa de slots, reservas y ciclo de citas. La documentación distingue ese comportamiento de las decisiones de dominio, los requisitos propuestos y los escenarios futuros.</w:t>
      </w:r>
    </w:p>
    <w:p>
      <w:r>
        <w:t>El lector debe usar este maestro como mapa documental. El comportamiento funcional vigente se contrasta con controllers, contratos Java y migraciones; la aprobación de un diseño no implica su implementación. El Hospital de Huaycán no ha otorgado aquí una aprobación institucional del sistema ni se afirma disponibilidad de un producto terminado.</w:t>
      </w:r>
    </w:p>
    <w:p>
      <w:pPr>
        <w:pStyle w:val="SourceNote"/>
      </w:pPr>
      <w:r>
        <w:t>Fuentes: [B1], [B2], [E321].</w:t>
      </w:r>
    </w:p>
    <w:p>
      <w:r>
        <w:br w:type="page"/>
      </w:r>
    </w:p>
    <w:p>
      <w:bookmarkStart w:id="2" w:name="chapter_2"/>
      <w:pPr>
        <w:pStyle w:val="Heading1"/>
      </w:pPr>
      <w:r>
        <w:t>2. Alcance actual</w:t>
      </w:r>
      <w:bookmarkEnd w:id="2"/>
    </w:p>
    <w:p>
      <w:pPr>
        <w:pStyle w:val="CaptionCustom"/>
      </w:pPr>
      <w:r>
        <w:t>Tabla 1. Alcance por estado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Estado</w:t>
            </w:r>
          </w:p>
        </w:tc>
        <w:tc>
          <w:tcPr>
            <w:tcW w:type="dxa" w:w="4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Capacidades documentadas</w:t>
            </w:r>
          </w:p>
        </w:tc>
        <w:tc>
          <w:tcPr>
            <w:tcW w:type="dxa" w:w="303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Límite</w:t>
            </w:r>
          </w:p>
        </w:tc>
      </w:tr>
      <w:tr>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IMPLEMENTADO</w:t>
            </w:r>
          </w:p>
        </w:tc>
        <w:tc>
          <w:tcPr>
            <w:tcW w:type="dxa" w:w="4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Auth/JWT; gestión administrativa de Users y Patients; consulta ADMIN de slots; reserva y ciclo de citas; barrera de doble reserva.</w:t>
            </w:r>
          </w:p>
        </w:tc>
        <w:tc>
          <w:tcPr>
            <w:tcW w:type="dxa" w:w="303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Solo operaciones y pruebas existentes.</w:t>
            </w:r>
          </w:p>
        </w:tc>
      </w:tr>
      <w:tr>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PARCIAL</w:t>
            </w:r>
          </w:p>
        </w:tc>
        <w:tc>
          <w:tcPr>
            <w:tcW w:type="dxa" w:w="4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Gestión profesional CU-D1; configuración de Schedule CU-D4; cobertura de auditoría y requisitos más amplios.</w:t>
            </w:r>
          </w:p>
        </w:tc>
        <w:tc>
          <w:tcPr>
            <w:tcW w:type="dxa" w:w="303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Sin ciclo completo User–Professional, política Specialty ni generación de slots.</w:t>
            </w:r>
          </w:p>
        </w:tc>
      </w:tr>
      <w:tr>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CONCEPTUAL</w:t>
            </w:r>
          </w:p>
        </w:tc>
        <w:tc>
          <w:tcPr>
            <w:tcW w:type="dxa" w:w="4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Asociación N:M CU-D2; Specialty Catalog CU-D3; disponibilidad sanitizada CU-D6.</w:t>
            </w:r>
          </w:p>
        </w:tc>
        <w:tc>
          <w:tcPr>
            <w:tcW w:type="dxa" w:w="303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DEC-006/007 cierran intención y ownership, no Java/API/permiso.</w:t>
            </w:r>
          </w:p>
        </w:tc>
      </w:tr>
      <w:tr>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FUTURO</w:t>
            </w:r>
          </w:p>
        </w:tc>
        <w:tc>
          <w:tcPr>
            <w:tcW w:type="dxa" w:w="476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No-show, waitlist/ofertas, prioridad y notificaciones.</w:t>
            </w:r>
          </w:p>
        </w:tc>
        <w:tc>
          <w:tcPr>
            <w:tcW w:type="dxa" w:w="303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Sujeto a decisiones y evidencia posteriores.</w:t>
            </w:r>
          </w:p>
        </w:tc>
      </w:tr>
    </w:tbl>
    <w:p>
      <w:pPr>
        <w:spacing w:after="40"/>
      </w:pPr>
    </w:p>
    <w:p>
      <w:r>
        <w:t>La generación de slots, reglas temporales, bootstrap, autogestión del paciente, retención de auditoría y metas operativas están pendientes de decisiones OPEN; no se agrupan como funciones aprobadas. Los clientes web/móvil son objetivos documentados sin aplicación funcional actual, y no se les atribuye un estado FUTURE del Decision Register.</w:t>
      </w:r>
    </w:p>
    <w:p>
      <w:pPr>
        <w:pStyle w:val="SourceNote"/>
      </w:pPr>
      <w:r>
        <w:t>Fuentes: [B1], [B2], [D4], [UX], [E321].</w:t>
      </w:r>
    </w:p>
    <w:p>
      <w:r>
        <w:br w:type="page"/>
      </w:r>
    </w:p>
    <w:p>
      <w:bookmarkStart w:id="3" w:name="chapter_3"/>
      <w:pPr>
        <w:pStyle w:val="Heading1"/>
      </w:pPr>
      <w:r>
        <w:t>3. Requisitos y dominio</w:t>
      </w:r>
      <w:bookmarkEnd w:id="3"/>
    </w:p>
    <w:p>
      <w:r>
        <w:t>La SRS propone RF canónicos; los RF del PRD anterior usan una serie histórica distinta. En particular, RF-014 canónico trata la exclusión de doble reserva, mientras el antiguo RF-014 del PRD se refería a atención clínica fuera del MVP actual. Los casos CU-D1–CU-D8 son identificadores locales de Agenda.</w:t>
      </w:r>
    </w:p>
    <w:p>
      <w:pPr>
        <w:pStyle w:val="CaptionCustom"/>
      </w:pPr>
      <w:r>
        <w:t>Tabla 2. Trazabilidad funcional del incremento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RF y caso</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Actor y estado</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Contrato y persistencia</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Prueba o brecha</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RF-007 / CU-D1</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ADMIN · PARCIAL</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ProfessionalController/Service; V1 professionals.</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ProfessionalServiceTest; N:M y DEC-005 pendientes.</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RF-007 / CU-D2</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ADMIN conceptual · CONCEPTUAL</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Asociación propuesta; V1 professional_specialties solo físico.</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Sin test funcional N:M.</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RF-008 / CU-D3</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ADMIN conceptual · CONCEPTUAL</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Catalogs propuesto; V1 specialties solo físico.</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Sin CRUD/test funcional.</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RF-011 / CU-D4</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ADMIN · PARCIAL</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AgendaController/Service; V1 schedules.</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AgendaServiceTest; specialty activa/asignada pendiente.</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RF-012 / CU-D5</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ADMIN · IMPLEMENTADO</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Dos GET Agenda; V1 slots y schedules.</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Tests de Agenda; no cubre CU-D6.</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RF-012 / CU-D6</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PATIENT, RECEPTIONIST conceptuales · CONCEPTUAL</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Vista propuesta; sin API/DTO; V1 sería fuente futura.</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Sin test de sanitización.</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RF-013 / CU-D7</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PATIENT propio, ADMIN, RECEPTIONIST · IMPLEMENTADO</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AppointmentController/Service y reserva Agenda; V1/V3.</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AppointmentModuleIT.</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RF-014 / CU-D8</w:t>
            </w:r>
          </w:p>
        </w:tc>
        <w:tc>
          <w:tcPr>
            <w:tcW w:type="dxa" w:w="238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SYSTEM técnico · IMPLEMENTADO</w:t>
            </w:r>
          </w:p>
        </w:tc>
        <w:tc>
          <w:tcPr>
            <w:tcW w:type="dxa" w:w="3005"/>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UPDATE condicional y V3 índice parcial; sin API propia.</w:t>
            </w:r>
          </w:p>
        </w:tc>
        <w:tc>
          <w:tcPr>
            <w:tcW w:type="dxa" w:w="246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2 solicitudes probadas; 20 SRS pendientes.</w:t>
            </w:r>
          </w:p>
        </w:tc>
      </w:tr>
    </w:tbl>
    <w:p>
      <w:pPr>
        <w:spacing w:after="140"/>
      </w:pPr>
      <w:r>
        <w:rPr>
          <w:b/>
        </w:rPr>
        <w:t xml:space="preserve">RF-009 y RF-010 fuera del incremento Agenda. </w:t>
      </w:r>
      <w:r>
        <w:t>RF-009 (contenido público autorizado) permanece OPEN, sin modelo ni API. RF-010 (portal público y acceso a reservas) está DEFINED_NOT_IMPLEMENTED, sin frontend funcional. Estos requisitos documentados en DOMAIN BASELINE y SRS no se derivan como CU-D1–CU-D8. Editor y visitante son actores documentales de ese alcance; no son roles ni permisos operativos actuales.</w:t>
      </w:r>
    </w:p>
    <w:p>
      <w:pPr>
        <w:spacing w:after="40"/>
      </w:pPr>
    </w:p>
    <w:p>
      <w:pPr>
        <w:pStyle w:val="SourceNote"/>
      </w:pPr>
      <w:r>
        <w:t>Fuentes: [SRS], [C1], [D4].</w:t>
      </w:r>
    </w:p>
    <w:p>
      <w:r>
        <w:br w:type="page"/>
      </w:r>
    </w:p>
    <w:p>
      <w:bookmarkStart w:id="4" w:name="chapter_4"/>
      <w:pPr>
        <w:pStyle w:val="Heading1"/>
      </w:pPr>
      <w:r>
        <w:t>4. Arquitectura</w:t>
      </w:r>
      <w:bookmarkEnd w:id="4"/>
    </w:p>
    <w:p>
      <w:r>
        <w:t>El backend actual es un monolito modular Java 21 y Spring Boot 3.5.14 bajo /api/v1. PostgreSQL y Flyway V1–V3 aportan persistencia. El roadmap fija React Native/Expo y PostgreSQL 17 como objetivos documentales; el repositorio no acredita despliegue ni frontend funcional. Auth/Security conserva un acoplamiento directo con Users pendiente de decisión DEC-004.</w:t>
      </w:r>
    </w:p>
    <w:p>
      <w:pPr>
        <w:pStyle w:val="CaptionCustom"/>
      </w:pPr>
      <w:r>
        <w:t>Tabla 3. Dependencias modulares verificadas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Consumidor</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Proveedor</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Límite público</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Patients</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Users</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UserLookupService y CurrentUserService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Agenda</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Professionals</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ProfessionalLookupService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Appointments</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Patients</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PatientLookupService y PatientReference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Appointments</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Professionals</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ProfessionalLookupService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Appointments</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Agenda</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Reservation/Release services y AvailabilitySlotReference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Appointments</w:t>
            </w:r>
          </w:p>
        </w:tc>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Audit</w:t>
            </w:r>
          </w:p>
        </w:tc>
        <w:tc>
          <w:tcPr>
            <w:tcW w:type="dxa" w:w="589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AuditLogService</w:t>
            </w:r>
          </w:p>
        </w:tc>
      </w:tr>
    </w:tbl>
    <w:p>
      <w:pPr>
        <w:spacing w:after="40"/>
      </w:pPr>
    </w:p>
    <w:p>
      <w:r>
        <w:t>Los consumidores de Appointments acceden a servicios públicos de otros módulos y no a sus repositories o entidades JPA. La frontera Auth → Users requiere una decisión separada; no se presenta aquí como refactorización realizada.</w:t>
      </w:r>
    </w:p>
    <w:p>
      <w:pPr>
        <w:pStyle w:val="SourceNote"/>
      </w:pPr>
      <w:r>
        <w:t>Fuentes: [B1], [ARQ], [TRD], [CON], [B2].</w:t>
      </w:r>
    </w:p>
    <w:p>
      <w:r>
        <w:br w:type="page"/>
      </w:r>
    </w:p>
    <w:p>
      <w:bookmarkStart w:id="5" w:name="chapter_5"/>
      <w:pPr>
        <w:pStyle w:val="Heading1"/>
      </w:pPr>
      <w:r>
        <w:t>5. Módulos y ownership</w:t>
      </w:r>
      <w:bookmarkEnd w:id="5"/>
    </w:p>
    <w:p>
      <w:pPr>
        <w:pStyle w:val="CaptionCustom"/>
      </w:pPr>
      <w:r>
        <w:t>Tabla 4. Ownership modular</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Módulo</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Responsabilidad actual o aprobada</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Estado</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Auth/Security</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JWT, refresh y autorización vigente.</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IMPLEMENTADO</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Users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Identidad, estado y roles.</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IMPLEMENTADO</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Perfil, enlace de usuario y lectura propia.</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IMPLEMENTADO con autogestión pendiente</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Perfil/licencia y lookup de ownership.</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PARCIAL para CU-D1</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Agenda</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Schedules, consulta ADMIN, reserva/liberación de slot.</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PARCIAL para RF-011/012</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Appointments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Reserva, ciclo y flujo operativo.</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IMPLEMENTADO en alcance actual</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Audit</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Eventos de ciclo de cita.</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PARCIAL en cobertura</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Catalogs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Definiciones Specialty según DEC-006.</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CONCEPTUAL</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Professionals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Asignación N:M Specialty según DEC-006.</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CONCEPTUAL para CU-D2</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Waitlist/Priority/Notifications</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Capacidades futuras; tablas de espera/prioridad no prueban servicios.</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FUTURO</w:t>
            </w:r>
          </w:p>
        </w:tc>
      </w:tr>
      <w:tr>
        <w:tc>
          <w:tcPr>
            <w:tcW w:type="dxa" w:w="175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Dashboard</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Indicadores planteados sin módulo funcional.</w:t>
            </w:r>
          </w:p>
        </w:tc>
        <w:tc>
          <w:tcPr>
            <w:tcW w:type="dxa" w:w="209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NO IMPLEMENTADO</w:t>
            </w:r>
          </w:p>
        </w:tc>
      </w:tr>
    </w:tbl>
    <w:p>
      <w:pPr>
        <w:spacing w:after="40"/>
      </w:pPr>
    </w:p>
    <w:p>
      <w:r>
        <w:t>La tabla SQL professional_specialties demuestra cardinalidad física, pero no una API de asociación. Catalogs y Professionals tienen responsabilidades conceptuales distintas. DEC-005 sigue OPEN para el ciclo User–Professional.</w:t>
      </w:r>
    </w:p>
    <w:p>
      <w:pPr>
        <w:pStyle w:val="SourceNote"/>
      </w:pPr>
      <w:r>
        <w:t>Fuentes: [B1], [B2], [C3], [D4], [PRO], [USR], [PAT], [APT].</w:t>
      </w:r>
    </w:p>
    <w:p>
      <w:r>
        <w:br w:type="page"/>
      </w:r>
    </w:p>
    <w:p>
      <w:bookmarkStart w:id="6" w:name="chapter_6"/>
      <w:pPr>
        <w:pStyle w:val="Heading1"/>
      </w:pPr>
      <w:r>
        <w:t>6. API y contratos</w:t>
      </w:r>
      <w:bookmarkEnd w:id="6"/>
    </w:p>
    <w:p>
      <w:r>
        <w:t>DEC-019 establece que los controllers y DTOs Java definen el contrato funcional actual. La API Specification alineada conserva ejemplos históricos identificados; no establece un envelope o paginación universal. Los endpoints de Specialty Catalog, Dashboard, auth/register, auth/me y administración HTTP de permisos no existen. La vista sanitizada CU-D6 carece de URI, DTO y autorización actual.</w:t>
      </w:r>
    </w:p>
    <w:p>
      <w:pPr>
        <w:pStyle w:val="CaptionCustom"/>
      </w:pPr>
      <w:r>
        <w:t>Tabla 5. Superficies HTTP actuales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Área</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Rutas o grupos existentes</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Acceso delimitado</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Auth</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POST /auth/login, /refresh, /logout</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Autenticación/refresh; logout autenticado.</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Users</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CRUD básico, /users/me y POST /users/{id}/roles</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ADMIN salvo lectura propia autenticada.</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Patients</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Gestión /patients y GET /patients/me</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ADMIN; lectura propia PATIENT.</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Professionals</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POST/GET/PUT /professionals</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ADMIN; desactivación HTTP ausente.</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Agenda</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POST/GET/PUT/PATCH /agendas; GET /availability</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ADMIN únicamente.</w:t>
            </w:r>
          </w:p>
        </w:tc>
      </w:tr>
      <w:tr>
        <w:tc>
          <w:tcPr>
            <w:tcW w:type="dxa" w:w="153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Appointments</w:t>
            </w:r>
          </w:p>
        </w:tc>
        <w:tc>
          <w:tcPr>
            <w:tcW w:type="dxa" w:w="493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Reserva, lectura, confirmación, cancelación, reprogramación y flujo</w:t>
            </w:r>
          </w:p>
        </w:tc>
        <w:tc>
          <w:tcPr>
            <w:tcW w:type="dxa" w:w="294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Roles y ownership por operación.</w:t>
            </w:r>
          </w:p>
        </w:tc>
      </w:tr>
    </w:tbl>
    <w:p>
      <w:pPr>
        <w:spacing w:after="40"/>
      </w:pPr>
    </w:p>
    <w:p>
      <w:r>
        <w:t>Todos los paths de la tabla son relativos al contexto /api/v1. Los contratos de reserva/liberación de Agenda y los lookup de Patients/Professionals existen como fronteras Java; el contrato de catálogo y la consulta sanitizada permanecen propuestas sin firma ejecutable.</w:t>
      </w:r>
    </w:p>
    <w:p>
      <w:pPr>
        <w:pStyle w:val="SourceNote"/>
      </w:pPr>
      <w:r>
        <w:t>Fuentes: [API], [B1], [B2], [C3], [CON], [E321].</w:t>
      </w:r>
    </w:p>
    <w:p>
      <w:r>
        <w:br w:type="page"/>
      </w:r>
    </w:p>
    <w:p>
      <w:bookmarkStart w:id="7" w:name="chapter_7"/>
      <w:pPr>
        <w:pStyle w:val="Heading1"/>
      </w:pPr>
      <w:r>
        <w:t>7. Seguridad</w:t>
      </w:r>
      <w:bookmarkEnd w:id="7"/>
    </w:p>
    <w:p>
      <w:pPr>
        <w:pStyle w:val="CaptionCustom"/>
      </w:pPr>
      <w:r>
        <w:t>Tabla 6. Roles de negocio aprobados en el caso actual</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70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Rol</w:t>
            </w:r>
          </w:p>
        </w:tc>
        <w:tc>
          <w:tcPr>
            <w:tcW w:type="dxa" w:w="771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Operaciones delimitadas</w:t>
            </w:r>
          </w:p>
        </w:tc>
      </w:tr>
      <w:tr>
        <w:tc>
          <w:tcPr>
            <w:tcW w:type="dxa" w:w="170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w:t>
            </w:r>
          </w:p>
        </w:tc>
        <w:tc>
          <w:tcPr>
            <w:tcW w:type="dxa" w:w="771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Perfil propio y citas propias; sin gestión de Agenda ni datos de otro paciente.</w:t>
            </w:r>
          </w:p>
        </w:tc>
      </w:tr>
      <w:tr>
        <w:tc>
          <w:tcPr>
            <w:tcW w:type="dxa" w:w="170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RECEPTIONIST</w:t>
            </w:r>
          </w:p>
        </w:tc>
        <w:tc>
          <w:tcPr>
            <w:tcW w:type="dxa" w:w="771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Citas de pacientes activos; check-in y espera.</w:t>
            </w:r>
          </w:p>
        </w:tc>
      </w:tr>
      <w:tr>
        <w:tc>
          <w:tcPr>
            <w:tcW w:type="dxa" w:w="170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PROFESSIONAL</w:t>
            </w:r>
          </w:p>
        </w:tc>
        <w:tc>
          <w:tcPr>
            <w:tcW w:type="dxa" w:w="771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Inicio y fin de atención operativa de cita asignada.</w:t>
            </w:r>
          </w:p>
        </w:tc>
      </w:tr>
      <w:tr>
        <w:tc>
          <w:tcPr>
            <w:tcW w:type="dxa" w:w="170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ADMIN</w:t>
            </w:r>
          </w:p>
        </w:tc>
        <w:tc>
          <w:tcPr>
            <w:tcW w:type="dxa" w:w="771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Gestión administrativa y Agenda; sin override de transiciones de recepción/profesional.</w:t>
            </w:r>
          </w:p>
        </w:tc>
      </w:tr>
    </w:tbl>
    <w:p>
      <w:pPr>
        <w:spacing w:after="40"/>
      </w:pPr>
    </w:p>
    <w:p>
      <w:r>
        <w:t>TRIAGE y SYSTEM aparecen en antecedentes o enum, pero DEC-002 no les asigna operaciones de negocio actuales. SYSTEM técnico en CU-D8 representa la invariante interna, no un login o permiso. No hay actor auditor operativo. Las tablas roles/permissions y sus authorities no prueban autorización granular de endpoints; DEC-020 permanece PROPOSED.</w:t>
      </w:r>
    </w:p>
    <w:p>
      <w:r>
        <w:t>JWT, refresh token persistido y verificaciones por rol existen. HTTPS de despliegue, rate limiting, retención/acceso de auditoría y metas operativas requieren evidencia o decisiones adicionales.</w:t>
      </w:r>
    </w:p>
    <w:p>
      <w:pPr>
        <w:pStyle w:val="SourceNote"/>
      </w:pPr>
      <w:r>
        <w:t>Fuentes: [B1], [B2], [SEC], [THT], [API].</w:t>
      </w:r>
    </w:p>
    <w:p>
      <w:r>
        <w:br w:type="page"/>
      </w:r>
    </w:p>
    <w:p>
      <w:bookmarkStart w:id="8" w:name="chapter_8"/>
      <w:pPr>
        <w:pStyle w:val="Heading1"/>
      </w:pPr>
      <w:r>
        <w:t>8. Modelo de datos</w:t>
      </w:r>
      <w:bookmarkEnd w:id="8"/>
    </w:p>
    <w:p>
      <w:pPr>
        <w:pStyle w:val="CaptionCustom"/>
      </w:pPr>
      <w:r>
        <w:t>Tabla 7. Migraciones físicas existentes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Versión</w:t>
            </w:r>
          </w:p>
        </w:tc>
        <w:tc>
          <w:tcPr>
            <w:tcW w:type="dxa" w:w="470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Contenido comprobado</w:t>
            </w:r>
          </w:p>
        </w:tc>
        <w:tc>
          <w:tcPr>
            <w:tcW w:type="dxa" w:w="272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Límite</w:t>
            </w:r>
          </w:p>
        </w:tc>
      </w:tr>
      <w:tr>
        <w:tc>
          <w:tcPr>
            <w:tcW w:type="dxa" w:w="19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V1 initial_schema</w:t>
            </w:r>
          </w:p>
        </w:tc>
        <w:tc>
          <w:tcPr>
            <w:tcW w:type="dxa" w:w="470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Users, roles, patients, professionals, specialties, N:M, schedules, slots, appointments, waitlist_entries, priority_requests, audit_logs.</w:t>
            </w:r>
          </w:p>
        </w:tc>
        <w:tc>
          <w:tcPr>
            <w:tcW w:type="dxa" w:w="272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La existencia de tablas no implica módulo funcional.</w:t>
            </w:r>
          </w:p>
        </w:tc>
      </w:tr>
      <w:tr>
        <w:tc>
          <w:tcPr>
            <w:tcW w:type="dxa" w:w="19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V2 create_refresh_tokens</w:t>
            </w:r>
          </w:p>
        </w:tc>
        <w:tc>
          <w:tcPr>
            <w:tcW w:type="dxa" w:w="470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Tabla refresh_tokens e índices de usuario, hash y vencimiento.</w:t>
            </w:r>
          </w:p>
        </w:tc>
        <w:tc>
          <w:tcPr>
            <w:tcW w:type="dxa" w:w="272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No crea contratos Agenda.</w:t>
            </w:r>
          </w:p>
        </w:tc>
      </w:tr>
      <w:tr>
        <w:tc>
          <w:tcPr>
            <w:tcW w:type="dxa" w:w="19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V3 support_appointment_lifecycle</w:t>
            </w:r>
          </w:p>
        </w:tc>
        <w:tc>
          <w:tcPr>
            <w:tcW w:type="dxa" w:w="470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Sucesión de reprogramación y uq_appointments_active_slot para SCHEDULED/CONFIRMED.</w:t>
            </w:r>
          </w:p>
        </w:tc>
        <w:tc>
          <w:tcPr>
            <w:tcW w:type="dxa" w:w="272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No genera slots ni aplica ventanas temporales.</w:t>
            </w:r>
          </w:p>
        </w:tc>
      </w:tr>
    </w:tbl>
    <w:p>
      <w:pPr>
        <w:spacing w:after="40"/>
      </w:pPr>
    </w:p>
    <w:p>
      <w:r>
        <w:t>El esquema previo de Backend Schema usa nombres en castellano y estructuras de ejemplo; no sustituye V1–V3. No existe estado actual NO_SHOW/NO_ASISTIO. La FK schedules.specialty_id prueba existencia física, no specialty activa ni asociación con el profesional. El ERD y la estrategia de migraciones siguen marcados PENDIENTE DE DOCUMENTACIÓN.</w:t>
      </w:r>
    </w:p>
    <w:p>
      <w:pPr>
        <w:pStyle w:val="SourceNote"/>
      </w:pPr>
      <w:r>
        <w:t>Fuentes: [B1], [B2], [DB], [BSC], [C3], [E321].</w:t>
      </w:r>
    </w:p>
    <w:p>
      <w:r>
        <w:br w:type="page"/>
      </w:r>
    </w:p>
    <w:p>
      <w:bookmarkStart w:id="9" w:name="chapter_9"/>
      <w:pPr>
        <w:pStyle w:val="Heading1"/>
      </w:pPr>
      <w:r>
        <w:t>9. Testing</w:t>
      </w:r>
      <w:bookmarkEnd w:id="9"/>
    </w:p>
    <w:p>
      <w:pPr>
        <w:pStyle w:val="CaptionCustom"/>
      </w:pPr>
      <w:r>
        <w:t>Tabla 8. Evidencia de pruebas y brechas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Área</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Evidencia existente</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Brecha</w:t>
            </w:r>
          </w:p>
        </w:tc>
      </w:tr>
      <w:t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Professionals</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ProfessionalServiceTest; ProfessionalControllerAuthorizationTest; DatabaseProfessionalLookupServiceTest.</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N:M, DEC-005 y specialty activa.</w:t>
            </w:r>
          </w:p>
        </w:tc>
      </w:tr>
      <w:t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Agenda</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AgendaServiceTest, AgendaControllerTest y autorización; integración de FK inválida.</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Generación, solapamiento y vista sanitizada.</w:t>
            </w:r>
          </w:p>
        </w:tc>
      </w:tr>
      <w:t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Reserva</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AppointmentModuleIT y AppointmentPersistenceIT sobre PostgreSQL.</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Ensayo SRS RF-014 de 20 solicitudes.</w:t>
            </w:r>
          </w:p>
        </w:tc>
      </w:tr>
      <w:t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Flujo de citas</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Pruebas de servicio/controller e integración de transiciones actuales.</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No-show y ventanas temporales sin decisión/implementación.</w:t>
            </w:r>
          </w:p>
        </w:tc>
      </w:tr>
      <w:tr>
        <w:tc>
          <w:tcPr>
            <w:tcW w:type="dxa" w:w="155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Planes FT</w:t>
            </w:r>
          </w:p>
        </w:tc>
        <w:tc>
          <w:tcPr>
            <w:tcW w:type="dxa" w:w="4592"/>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Test Plan y Test Strategy contienen escenarios objetivo.</w:t>
            </w:r>
          </w:p>
        </w:tc>
        <w:tc>
          <w:tcPr>
            <w:tcW w:type="dxa" w:w="326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Una fila FT no acredita ejecución.</w:t>
            </w:r>
          </w:p>
        </w:tc>
      </w:tr>
    </w:tbl>
    <w:p>
      <w:pPr>
        <w:spacing w:after="40"/>
      </w:pPr>
    </w:p>
    <w:p>
      <w:r>
        <w:t>RF-014 canónico: la invariante de exclusión mutua está implementada y la prueba AppointmentModuleIT.allowsOnlyOneOfTwoConcurrentReservations ejercita dos solicitudes concurrentes. La aceptación académica de veinte solicitudes simultáneas permanece PENDIENTE; este documento no declara cobertura plena.</w:t>
      </w:r>
    </w:p>
    <w:p>
      <w:pPr>
        <w:pStyle w:val="SourceNote"/>
      </w:pPr>
      <w:r>
        <w:t>Fuentes: [B1], [C1], [D4], [SRS], [TES], [TEP].</w:t>
      </w:r>
    </w:p>
    <w:p>
      <w:r>
        <w:br w:type="page"/>
      </w:r>
    </w:p>
    <w:p>
      <w:bookmarkStart w:id="10" w:name="chapter_10"/>
      <w:pPr>
        <w:pStyle w:val="Heading1"/>
      </w:pPr>
      <w:r>
        <w:t>10. Agenda Availability y Specialty Policy</w:t>
      </w:r>
      <w:bookmarkEnd w:id="10"/>
    </w:p>
    <w:p>
      <w:r>
        <w:t>El incremento Agenda Availability + Specialty Policy separa la configuración de Schedule y la consulta operativa actual de la política de especialidades y la vista de disponibilidad de diseño. La reserva usa un slot existente y revalida su usabilidad de forma transaccional; la consulta sanitizada no es precondición de la reserva actual.</w:t>
      </w:r>
    </w:p>
    <w:p>
      <w:pPr>
        <w:pStyle w:val="CaptionCustom"/>
      </w:pPr>
      <w:r>
        <w:t>Tabla 9. Estado del incremento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26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Casos</w:t>
            </w:r>
          </w:p>
        </w:tc>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Estado</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Fundamento</w:t>
            </w:r>
          </w:p>
        </w:tc>
      </w:tr>
      <w:tr>
        <w:tc>
          <w:tcPr>
            <w:tcW w:type="dxa" w:w="226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CU-D1, CU-D4</w:t>
            </w:r>
          </w:p>
        </w:tc>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PARCIAL</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Alta/lectura/cambio básico de Professional y Schedule; reglas ampliadas pendientes.</w:t>
            </w:r>
          </w:p>
        </w:tc>
      </w:tr>
      <w:tr>
        <w:tc>
          <w:tcPr>
            <w:tcW w:type="dxa" w:w="226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CU-D2, CU-D3, CU-D6</w:t>
            </w:r>
          </w:p>
        </w:tc>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CONCEPTUAL</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DEC-006/007 aprueban ownership y actores; sin gestión o exposición Java/API.</w:t>
            </w:r>
          </w:p>
        </w:tc>
      </w:tr>
      <w:tr>
        <w:tc>
          <w:tcPr>
            <w:tcW w:type="dxa" w:w="2268"/>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CU-D5, CU-D7, CU-D8</w:t>
            </w:r>
          </w:p>
        </w:tc>
        <w:tc>
          <w:tcPr>
            <w:tcW w:type="dxa" w:w="158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IMPLEMENTADO</w:t>
            </w:r>
          </w:p>
        </w:tc>
        <w:tc>
          <w:tcPr>
            <w:tcW w:type="dxa" w:w="5556"/>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Lectura ADMIN, reserva actual e invariante interna de concurrencia.</w:t>
            </w:r>
          </w:p>
        </w:tc>
      </w:tr>
    </w:tbl>
    <w:p>
      <w:pPr>
        <w:spacing w:after="40"/>
      </w:pPr>
    </w:p>
    <w:p>
      <w:r>
        <w:t>DEC-008 mantiene OPEN la generación/duración/solapamiento de slots. DEC-010 mantiene OPEN ventanas y restricciones temporales. DEC-009 selecciona conceptualmente una zona IANA de negocio, pero no instala reglas temporales Java. Specialty activa/asignada sigue sin validación funcional.</w:t>
      </w:r>
    </w:p>
    <w:p>
      <w:pPr>
        <w:pStyle w:val="SourceNote"/>
      </w:pPr>
      <w:r>
        <w:t>Fuentes: [B2], [C1], [C2], [C3], [C4], [D4].</w:t>
      </w:r>
    </w:p>
    <w:p>
      <w:r>
        <w:br w:type="page"/>
      </w:r>
    </w:p>
    <w:p>
      <w:bookmarkStart w:id="11" w:name="chapter_11"/>
      <w:pPr>
        <w:pStyle w:val="Heading1"/>
      </w:pPr>
      <w:r>
        <w:t>11. Casos de uso UML</w:t>
      </w:r>
      <w:bookmarkEnd w:id="11"/>
    </w:p>
    <w:p>
      <w:r>
        <w:t>El diagrama general D.1 usa ADMIN, PATIENT y RECEPTIONIST como actores externos. PROFESSIONAL tiene operaciones reales en Appointments fuera de CU-D1–CU-D8. SYSTEM de CU-D8 es un ejecutor técnico interno. Las imágenes mantienen etiquetas IMPLEMENTADO, PARCIAL y CONCEPTUAL del UML validado.</w:t>
      </w:r>
    </w:p>
    <w:p>
      <w:pPr>
        <w:pStyle w:val="CaptionCustom"/>
        <w:keepNext/>
      </w:pPr>
      <w:r>
        <w:t>Figura 1. Diagrama general D.1 de casos de uso</w:t>
      </w:r>
    </w:p>
    <w:p>
      <w:pPr>
        <w:spacing w:after="60"/>
        <w:jc w:val="center"/>
      </w:pPr>
      <w:r>
        <w:drawing>
          <wp:inline xmlns:a="http://schemas.openxmlformats.org/drawingml/2006/main" xmlns:pic="http://schemas.openxmlformats.org/drawingml/2006/picture">
            <wp:extent cx="4824000" cy="518422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824000" cy="5184222"/>
                    </a:xfrm>
                    <a:prstGeom prst="rect"/>
                  </pic:spPr>
                </pic:pic>
              </a:graphicData>
            </a:graphic>
          </wp:inline>
        </w:drawing>
      </w:r>
    </w:p>
    <w:p>
      <w:pPr>
        <w:pStyle w:val="SourceNote"/>
      </w:pPr>
      <w:r>
        <w:t>Fuentes: [D1].</w:t>
      </w:r>
    </w:p>
    <w:p>
      <w:r>
        <w:br w:type="page"/>
      </w:r>
    </w:p>
    <w:p>
      <w:pPr>
        <w:pStyle w:val="Heading2"/>
      </w:pPr>
      <w:r>
        <w:t>CU-D1  Gestión profesional</w:t>
      </w:r>
    </w:p>
    <w:p>
      <w:pPr>
        <w:pStyle w:val="CaptionCustom"/>
      </w:pPr>
      <w:r>
        <w:t>Tabla 10. Ficha breve de CU-D1</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PARCIAL</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ADMIN</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Crear, consultar y actualizar licencia básica; asociación y ciclo de vínculo pendientes.</w:t>
            </w:r>
          </w:p>
        </w:tc>
      </w:tr>
    </w:tbl>
    <w:p>
      <w:pPr>
        <w:spacing w:after="40"/>
      </w:pPr>
    </w:p>
    <w:p>
      <w:pPr>
        <w:pStyle w:val="CaptionCustom"/>
        <w:keepNext/>
      </w:pPr>
      <w:r>
        <w:t>Figura 2. Escenario CU-D1 — Gestión profesional</w:t>
      </w:r>
    </w:p>
    <w:p>
      <w:pPr>
        <w:spacing w:after="60"/>
        <w:jc w:val="center"/>
      </w:pPr>
      <w:r>
        <w:drawing>
          <wp:inline xmlns:a="http://schemas.openxmlformats.org/drawingml/2006/main" xmlns:pic="http://schemas.openxmlformats.org/drawingml/2006/picture">
            <wp:extent cx="4664841" cy="63000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4664841" cy="6300000"/>
                    </a:xfrm>
                    <a:prstGeom prst="rect"/>
                  </pic:spPr>
                </pic:pic>
              </a:graphicData>
            </a:graphic>
          </wp:inline>
        </w:drawing>
      </w:r>
    </w:p>
    <w:p>
      <w:pPr>
        <w:pStyle w:val="SourceNote"/>
      </w:pPr>
      <w:r>
        <w:t>Fuentes: [D32].</w:t>
      </w:r>
    </w:p>
    <w:p>
      <w:r>
        <w:br w:type="page"/>
      </w:r>
    </w:p>
    <w:p>
      <w:pPr>
        <w:pStyle w:val="Heading2"/>
      </w:pPr>
      <w:r>
        <w:t>CU-D2  Asociación Professional Specialty</w:t>
      </w:r>
    </w:p>
    <w:p>
      <w:pPr>
        <w:pStyle w:val="CaptionCustom"/>
      </w:pPr>
      <w:r>
        <w:t>Tabla 11. Ficha breve de CU-D2</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CONCEPTUAL</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ADMIN</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Gestionar N:M en diseño; V1 es soporte físico, sin servicio ni API.</w:t>
            </w:r>
          </w:p>
        </w:tc>
      </w:tr>
    </w:tbl>
    <w:p>
      <w:pPr>
        <w:spacing w:after="40"/>
      </w:pPr>
    </w:p>
    <w:p>
      <w:pPr>
        <w:pStyle w:val="CaptionCustom"/>
        <w:keepNext/>
      </w:pPr>
      <w:r>
        <w:t>Figura 3. Escenario CU-D2 — Asociación Professional Specialty</w:t>
      </w:r>
    </w:p>
    <w:p>
      <w:pPr>
        <w:spacing w:after="60"/>
        <w:jc w:val="center"/>
      </w:pPr>
      <w:r>
        <w:drawing>
          <wp:inline xmlns:a="http://schemas.openxmlformats.org/drawingml/2006/main" xmlns:pic="http://schemas.openxmlformats.org/drawingml/2006/picture">
            <wp:extent cx="5760000" cy="4565936"/>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760000" cy="4565936"/>
                    </a:xfrm>
                    <a:prstGeom prst="rect"/>
                  </pic:spPr>
                </pic:pic>
              </a:graphicData>
            </a:graphic>
          </wp:inline>
        </w:drawing>
      </w:r>
    </w:p>
    <w:p>
      <w:pPr>
        <w:pStyle w:val="SourceNote"/>
      </w:pPr>
      <w:r>
        <w:t>Fuentes: [D33].</w:t>
      </w:r>
    </w:p>
    <w:p>
      <w:r>
        <w:br w:type="page"/>
      </w:r>
    </w:p>
    <w:p>
      <w:pPr>
        <w:pStyle w:val="Heading2"/>
      </w:pPr>
      <w:r>
        <w:t>CU-D3  Gestión Specialty Catalog</w:t>
      </w:r>
    </w:p>
    <w:p>
      <w:pPr>
        <w:pStyle w:val="CaptionCustom"/>
      </w:pPr>
      <w:r>
        <w:t>Tabla 12. Ficha breve de CU-D3</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CONCEPTUAL</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ADMIN</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Definiciones a cargo conceptual de Catalogs; sin CRUD funcional.</w:t>
            </w:r>
          </w:p>
        </w:tc>
      </w:tr>
    </w:tbl>
    <w:p>
      <w:pPr>
        <w:spacing w:after="40"/>
      </w:pPr>
    </w:p>
    <w:p>
      <w:pPr>
        <w:pStyle w:val="CaptionCustom"/>
        <w:keepNext/>
      </w:pPr>
      <w:r>
        <w:t>Figura 4. Escenario CU-D3 — Gestión Specialty Catalog</w:t>
      </w:r>
    </w:p>
    <w:p>
      <w:pPr>
        <w:spacing w:after="60"/>
        <w:jc w:val="center"/>
      </w:pPr>
      <w:r>
        <w:drawing>
          <wp:inline xmlns:a="http://schemas.openxmlformats.org/drawingml/2006/main" xmlns:pic="http://schemas.openxmlformats.org/drawingml/2006/picture">
            <wp:extent cx="4873456" cy="630000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4873456" cy="6300000"/>
                    </a:xfrm>
                    <a:prstGeom prst="rect"/>
                  </pic:spPr>
                </pic:pic>
              </a:graphicData>
            </a:graphic>
          </wp:inline>
        </w:drawing>
      </w:r>
    </w:p>
    <w:p>
      <w:pPr>
        <w:pStyle w:val="SourceNote"/>
      </w:pPr>
      <w:r>
        <w:t>Fuentes: [D33].</w:t>
      </w:r>
    </w:p>
    <w:p>
      <w:r>
        <w:br w:type="page"/>
      </w:r>
    </w:p>
    <w:p>
      <w:pPr>
        <w:pStyle w:val="Heading2"/>
      </w:pPr>
      <w:r>
        <w:t>CU-D4  Configuración Schedule</w:t>
      </w:r>
    </w:p>
    <w:p>
      <w:pPr>
        <w:pStyle w:val="CaptionCustom"/>
      </w:pPr>
      <w:r>
        <w:t>Tabla 13. Ficha breve de CU-D4</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PARCIAL</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ADMIN</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Crear, consultar, actualizar y cambiar active; no genera slots ni valida specialty activa/asignada.</w:t>
            </w:r>
          </w:p>
        </w:tc>
      </w:tr>
    </w:tbl>
    <w:p>
      <w:pPr>
        <w:spacing w:after="40"/>
      </w:pPr>
    </w:p>
    <w:p>
      <w:pPr>
        <w:pStyle w:val="CaptionCustom"/>
        <w:keepNext/>
      </w:pPr>
      <w:r>
        <w:t>Figura 5. Escenario CU-D4 — Configuración Schedule</w:t>
      </w:r>
    </w:p>
    <w:p>
      <w:pPr>
        <w:spacing w:after="60"/>
        <w:jc w:val="center"/>
      </w:pPr>
      <w:r>
        <w:drawing>
          <wp:inline xmlns:a="http://schemas.openxmlformats.org/drawingml/2006/main" xmlns:pic="http://schemas.openxmlformats.org/drawingml/2006/picture">
            <wp:extent cx="5760000" cy="5368009"/>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760000" cy="5368009"/>
                    </a:xfrm>
                    <a:prstGeom prst="rect"/>
                  </pic:spPr>
                </pic:pic>
              </a:graphicData>
            </a:graphic>
          </wp:inline>
        </w:drawing>
      </w:r>
    </w:p>
    <w:p>
      <w:pPr>
        <w:pStyle w:val="SourceNote"/>
      </w:pPr>
      <w:r>
        <w:t>Fuentes: [D32].</w:t>
      </w:r>
    </w:p>
    <w:p>
      <w:r>
        <w:br w:type="page"/>
      </w:r>
    </w:p>
    <w:p>
      <w:pPr>
        <w:pStyle w:val="CaptionCustom"/>
        <w:keepNext/>
      </w:pPr>
      <w:r>
        <w:t>Figura 6. Escenario CU-D4 — continuación</w:t>
      </w:r>
    </w:p>
    <w:p>
      <w:pPr>
        <w:spacing w:after="60"/>
        <w:jc w:val="center"/>
      </w:pPr>
      <w:r>
        <w:drawing>
          <wp:inline xmlns:a="http://schemas.openxmlformats.org/drawingml/2006/main" xmlns:pic="http://schemas.openxmlformats.org/drawingml/2006/picture">
            <wp:extent cx="5760000" cy="5368009"/>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760000" cy="5368009"/>
                    </a:xfrm>
                    <a:prstGeom prst="rect"/>
                  </pic:spPr>
                </pic:pic>
              </a:graphicData>
            </a:graphic>
          </wp:inline>
        </w:drawing>
      </w:r>
    </w:p>
    <w:p>
      <w:pPr>
        <w:pStyle w:val="SourceNote"/>
      </w:pPr>
      <w:r>
        <w:t>Fuentes: [D32].</w:t>
      </w:r>
    </w:p>
    <w:p>
      <w:r>
        <w:br w:type="page"/>
      </w:r>
    </w:p>
    <w:p>
      <w:pPr>
        <w:pStyle w:val="Heading2"/>
      </w:pPr>
      <w:r>
        <w:t>CU-D5  Disponibilidad operativa</w:t>
      </w:r>
    </w:p>
    <w:p>
      <w:pPr>
        <w:pStyle w:val="CaptionCustom"/>
      </w:pPr>
      <w:r>
        <w:t>Tabla 14. Ficha breve de CU-D5</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IMPLEMENTADO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ADMIN</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Dos GET actuales muestran slots y estado usable derivado; no son vista pública.</w:t>
            </w:r>
          </w:p>
        </w:tc>
      </w:tr>
    </w:tbl>
    <w:p>
      <w:pPr>
        <w:spacing w:after="40"/>
      </w:pPr>
    </w:p>
    <w:p>
      <w:pPr>
        <w:pStyle w:val="CaptionCustom"/>
        <w:keepNext/>
      </w:pPr>
      <w:r>
        <w:t>Figura 7. Escenario CU-D5 — Disponibilidad operativa</w:t>
      </w:r>
    </w:p>
    <w:p>
      <w:pPr>
        <w:spacing w:after="60"/>
        <w:jc w:val="center"/>
      </w:pPr>
      <w:r>
        <w:drawing>
          <wp:inline xmlns:a="http://schemas.openxmlformats.org/drawingml/2006/main" xmlns:pic="http://schemas.openxmlformats.org/drawingml/2006/picture">
            <wp:extent cx="5760000" cy="4436483"/>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760000" cy="4436483"/>
                    </a:xfrm>
                    <a:prstGeom prst="rect"/>
                  </pic:spPr>
                </pic:pic>
              </a:graphicData>
            </a:graphic>
          </wp:inline>
        </w:drawing>
      </w:r>
    </w:p>
    <w:p>
      <w:pPr>
        <w:pStyle w:val="SourceNote"/>
      </w:pPr>
      <w:r>
        <w:t>Fuentes: [D31].</w:t>
      </w:r>
    </w:p>
    <w:p>
      <w:r>
        <w:br w:type="page"/>
      </w:r>
    </w:p>
    <w:p>
      <w:pPr>
        <w:pStyle w:val="Heading2"/>
      </w:pPr>
      <w:r>
        <w:t>CU-D6  Disponibilidad sanitizada</w:t>
      </w:r>
    </w:p>
    <w:p>
      <w:pPr>
        <w:pStyle w:val="CaptionCustom"/>
      </w:pPr>
      <w:r>
        <w:t>Tabla 15. Ficha breve de CU-D6</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CONCEPTUAL</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PATIENT y RECEPTIONIST</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Vista minimizada aprobada como intención; sin endpoint, DTO o permiso actual.</w:t>
            </w:r>
          </w:p>
        </w:tc>
      </w:tr>
    </w:tbl>
    <w:p>
      <w:pPr>
        <w:spacing w:after="40"/>
      </w:pPr>
    </w:p>
    <w:p>
      <w:pPr>
        <w:pStyle w:val="CaptionCustom"/>
        <w:keepNext/>
      </w:pPr>
      <w:r>
        <w:t>Figura 8. Escenario CU-D6 — Disponibilidad sanitizada</w:t>
      </w:r>
    </w:p>
    <w:p>
      <w:pPr>
        <w:spacing w:after="60"/>
        <w:jc w:val="center"/>
      </w:pPr>
      <w:r>
        <w:drawing>
          <wp:inline xmlns:a="http://schemas.openxmlformats.org/drawingml/2006/main" xmlns:pic="http://schemas.openxmlformats.org/drawingml/2006/picture">
            <wp:extent cx="5760000" cy="569549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760000" cy="5695498"/>
                    </a:xfrm>
                    <a:prstGeom prst="rect"/>
                  </pic:spPr>
                </pic:pic>
              </a:graphicData>
            </a:graphic>
          </wp:inline>
        </w:drawing>
      </w:r>
    </w:p>
    <w:p>
      <w:pPr>
        <w:pStyle w:val="SourceNote"/>
      </w:pPr>
      <w:r>
        <w:t>Fuentes: [D33].</w:t>
      </w:r>
    </w:p>
    <w:p>
      <w:r>
        <w:br w:type="page"/>
      </w:r>
    </w:p>
    <w:p>
      <w:pPr>
        <w:pStyle w:val="Heading2"/>
      </w:pPr>
      <w:r>
        <w:t>CU-D7  Reserva de cita</w:t>
      </w:r>
    </w:p>
    <w:p>
      <w:pPr>
        <w:pStyle w:val="CaptionCustom"/>
      </w:pPr>
      <w:r>
        <w:t>Tabla 16. Ficha breve de CU-D7</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IMPLEMENTADO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PATIENT propio, ADMIN y RECEPTIONIST</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Reservar slot usable y crear cita en transacción; sin ventana temporal definida.</w:t>
            </w:r>
          </w:p>
        </w:tc>
      </w:tr>
    </w:tbl>
    <w:p>
      <w:pPr>
        <w:spacing w:after="40"/>
      </w:pPr>
    </w:p>
    <w:p>
      <w:pPr>
        <w:pStyle w:val="CaptionCustom"/>
        <w:keepNext/>
      </w:pPr>
      <w:r>
        <w:t>Figura 9. Escenario CU-D7 — Reserva de cita</w:t>
      </w:r>
    </w:p>
    <w:p>
      <w:pPr>
        <w:spacing w:after="60"/>
        <w:jc w:val="center"/>
      </w:pPr>
      <w:r>
        <w:drawing>
          <wp:inline xmlns:a="http://schemas.openxmlformats.org/drawingml/2006/main" xmlns:pic="http://schemas.openxmlformats.org/drawingml/2006/picture">
            <wp:extent cx="5760000" cy="3824959"/>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760000" cy="3824959"/>
                    </a:xfrm>
                    <a:prstGeom prst="rect"/>
                  </pic:spPr>
                </pic:pic>
              </a:graphicData>
            </a:graphic>
          </wp:inline>
        </w:drawing>
      </w:r>
    </w:p>
    <w:p>
      <w:pPr>
        <w:pStyle w:val="SourceNote"/>
      </w:pPr>
      <w:r>
        <w:t>Fuentes: [D31].</w:t>
      </w:r>
    </w:p>
    <w:p>
      <w:r>
        <w:br w:type="page"/>
      </w:r>
    </w:p>
    <w:p>
      <w:pPr>
        <w:pStyle w:val="Heading2"/>
      </w:pPr>
      <w:r>
        <w:t>CU-D8  Control de concurrencia</w:t>
      </w:r>
    </w:p>
    <w:p>
      <w:pPr>
        <w:pStyle w:val="CaptionCustom"/>
      </w:pPr>
      <w:r>
        <w:t>Tabla 17. Ficha breve de CU-D8</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Estado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Actor</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7"/>
              </w:rPr>
              <w:t>Objetivo y límite</w:t>
            </w:r>
          </w:p>
        </w:tc>
      </w:tr>
      <w:tr>
        <w:tc>
          <w:tcPr>
            <w:tcW w:type="dxa" w:w="181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IMPLEMENTADO</w:t>
            </w:r>
          </w:p>
        </w:tc>
        <w:tc>
          <w:tcPr>
            <w:tcW w:type="dxa" w:w="201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SYSTEM técnico dentro de CU-D7</w:t>
            </w:r>
          </w:p>
        </w:tc>
        <w:tc>
          <w:tcPr>
            <w:tcW w:type="dxa" w:w="5584"/>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7"/>
              </w:rPr>
              <w:t>UPDATE condicional más índice parcial V3; dos solicitudes probadas y veinte SRS pendientes.</w:t>
            </w:r>
          </w:p>
        </w:tc>
      </w:tr>
    </w:tbl>
    <w:p>
      <w:pPr>
        <w:spacing w:after="40"/>
      </w:pPr>
    </w:p>
    <w:p>
      <w:pPr>
        <w:pStyle w:val="CaptionCustom"/>
        <w:keepNext/>
      </w:pPr>
      <w:r>
        <w:t>Figura 10. Escenario CU-D8 — Control de concurrencia</w:t>
      </w:r>
    </w:p>
    <w:p>
      <w:pPr>
        <w:spacing w:after="60"/>
        <w:jc w:val="center"/>
      </w:pPr>
      <w:r>
        <w:drawing>
          <wp:inline xmlns:a="http://schemas.openxmlformats.org/drawingml/2006/main" xmlns:pic="http://schemas.openxmlformats.org/drawingml/2006/picture">
            <wp:extent cx="5760000" cy="4502016"/>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760000" cy="4502016"/>
                    </a:xfrm>
                    <a:prstGeom prst="rect"/>
                  </pic:spPr>
                </pic:pic>
              </a:graphicData>
            </a:graphic>
          </wp:inline>
        </w:drawing>
      </w:r>
    </w:p>
    <w:p>
      <w:pPr>
        <w:pStyle w:val="SourceNote"/>
      </w:pPr>
      <w:r>
        <w:t>Fuentes: [D31].</w:t>
      </w:r>
    </w:p>
    <w:p>
      <w:pPr>
        <w:pStyle w:val="SourceNote"/>
      </w:pPr>
      <w:r>
        <w:t>Fuentes: [D1], [D2], [D31], [D32], [D33], [D4].</w:t>
      </w:r>
    </w:p>
    <w:p>
      <w:r>
        <w:br w:type="page"/>
      </w:r>
    </w:p>
    <w:p>
      <w:bookmarkStart w:id="12" w:name="chapter_12"/>
      <w:pPr>
        <w:pStyle w:val="Heading1"/>
      </w:pPr>
      <w:r>
        <w:t>12. Decisiones del dominio</w:t>
      </w:r>
      <w:bookmarkEnd w:id="12"/>
    </w:p>
    <w:p>
      <w:r>
        <w:t>El Decision Register contiene 23 decisiones. CLOSED designa una decisión aprobada, no código implementado. OPEN requiere resolución; PROPOSED no equivale a aprobación; FUTURE conserva trabajo diferido. DEC-001 limita cualquier afirmación de aval institucional al carácter académico del caso.</w:t>
      </w:r>
    </w:p>
    <w:p>
      <w:pPr>
        <w:pStyle w:val="CaptionCustom"/>
      </w:pPr>
      <w:r>
        <w:t>Tabla 18. Registro de decisiones del dominio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ID</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Estado</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6"/>
              </w:rPr>
              <w:t>Objeto de decisión</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DEC-001</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Institutional AS-IS and product approval</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DEC-002</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Final institutional role map</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DEC-003</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Initial ADMIN, role, permission and catalog bootstrap</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DEC-004</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PROPOSED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Auth to Users module boundary</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DEC-005</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Professional-to-user lifecycle</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DEC-006</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Specialty ownership and professional-specialty policy</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DEC-007</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Actors and exposure for availability queries</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DEC-008</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Slot generation, duration, calendar and overlap</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DEC-009</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Hospital business timezone</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DEC-010</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Appointment and availability temporal rules</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DEC-011</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FUTURE</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No-show representation and slot effect</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DEC-012</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FUTURE</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Waitlist eligibility, selection, fairness, expiry and consent</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DEC-013</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FUTURE</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Priority criteria and authorized reviewer</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DEC-014</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FUTURE</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Notification timing, channels, provider and delivery semantics</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DEC-015</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PROPOSED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Appointment creation and broader audit-event inventory</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DEC-016</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PROPOSED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Professional deactivation HTTP capability</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DEC-017</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Patient self-registration and self-update</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DEC-018</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FUTURE</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Public content ownership, sources and disclaimer</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DEC-019</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API envelope, pagination, filters and OpenAPI authority</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DEC-020</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PROPOSED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Permission granularity versus role-only annotations</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DEC-021</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CLOSED</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Mobile OAuth2 plus PKCE target</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DEC-022</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6"/>
              </w:rPr>
              <w:t>Audit retention, access, IP and user-agent</w:t>
            </w:r>
          </w:p>
        </w:tc>
      </w:tr>
      <w:tr>
        <w:tc>
          <w:tcPr>
            <w:tcW w:type="dxa" w:w="119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DEC-023</w:t>
            </w:r>
          </w:p>
        </w:tc>
        <w:tc>
          <w:tcPr>
            <w:tcW w:type="dxa" w:w="1417"/>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OPEN</w:t>
            </w:r>
          </w:p>
        </w:tc>
        <w:tc>
          <w:tcPr>
            <w:tcW w:type="dxa" w:w="6803"/>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6"/>
              </w:rPr>
              <w:t>Performance, availability, backup and observability targets</w:t>
            </w:r>
          </w:p>
        </w:tc>
      </w:tr>
    </w:tbl>
    <w:p>
      <w:pPr>
        <w:spacing w:after="40"/>
      </w:pPr>
    </w:p>
    <w:p>
      <w:r>
        <w:t>Entre las decisiones abiertas que limitan trabajo inmediato figuran DEC-003, DEC-005, DEC-008, DEC-010, DEC-017, DEC-022 y DEC-023. DEC-006 y DEC-007 están CLOSED para ownership y exposición conceptual, sin promover CU-D2/D3/D6 a IMPLEMENTADO. DEC-020 conserva estado PROPOSED.</w:t>
      </w:r>
    </w:p>
    <w:p>
      <w:pPr>
        <w:pStyle w:val="SourceNote"/>
      </w:pPr>
      <w:r>
        <w:t>Fuentes: [B2].</w:t>
      </w:r>
    </w:p>
    <w:p>
      <w:r>
        <w:br w:type="page"/>
      </w:r>
    </w:p>
    <w:p>
      <w:bookmarkStart w:id="13" w:name="chapter_13"/>
      <w:pPr>
        <w:pStyle w:val="Heading1"/>
      </w:pPr>
      <w:r>
        <w:t>13. Limitaciones y trabajo futuro</w:t>
      </w:r>
      <w:bookmarkEnd w:id="13"/>
    </w:p>
    <w:p>
      <w:pPr>
        <w:pStyle w:val="ListBullet"/>
      </w:pPr>
      <w:r>
        <w:t>No hay aprobación institucional real del Hospital de Huaycán ni validación AS-IS acreditada en este paquete.</w:t>
      </w:r>
    </w:p>
    <w:p>
      <w:pPr>
        <w:pStyle w:val="ListBullet"/>
      </w:pPr>
      <w:r>
        <w:t>No hay generación automática de slots, política temporal Java, vista sanitizada o CRUD de Specialty/Professional Specialty.</w:t>
      </w:r>
    </w:p>
    <w:p>
      <w:pPr>
        <w:pStyle w:val="ListBullet"/>
      </w:pPr>
      <w:r>
        <w:t>Waitlist/ofertas, prioridad, notificaciones, no-show, dashboard y clientes web/móvil no son módulos funcionales actuales.</w:t>
      </w:r>
    </w:p>
    <w:p>
      <w:pPr>
        <w:pStyle w:val="ListBullet"/>
      </w:pPr>
      <w:r>
        <w:t>El criterio SRS de veinte solicitudes concurrentes y las metas de rendimiento/operación requieren pruebas y decisiones posteriores.</w:t>
      </w:r>
    </w:p>
    <w:p>
      <w:pPr>
        <w:pStyle w:val="ListBullet"/>
      </w:pPr>
      <w:r>
        <w:t>El ERD y la estrategia de migraciones siguen como marcadores documentales; V1–V3 son la referencia física.</w:t>
      </w:r>
    </w:p>
    <w:p>
      <w:pPr>
        <w:pStyle w:val="SourceNote"/>
      </w:pPr>
      <w:r>
        <w:t>Fuentes: [B1], [B2], [SRS], [D4], [E321].</w:t>
      </w:r>
    </w:p>
    <w:p>
      <w:r>
        <w:br w:type="page"/>
      </w:r>
    </w:p>
    <w:p>
      <w:bookmarkStart w:id="14" w:name="chapter_14"/>
      <w:pPr>
        <w:pStyle w:val="Heading1"/>
      </w:pPr>
      <w:r>
        <w:t>14. Anexos y fuentes</w:t>
      </w:r>
      <w:bookmarkEnd w:id="14"/>
    </w:p>
    <w:p>
      <w:r>
        <w:t>La relación siguiente permite reconstruir cada sección desde las fuentes Markdown y los archivos UML vigentes. Los códigos entre corchetes usados en el cuerpo remiten a esta tabla. Para las imágenes se reutilizó únicamente la rasterización de los nueve diagramas del anexo UML previamente validado; el contenido y las etiquetas se cotejaron con los archivos .puml vigentes. No se tomó texto ni decisión funcional del anexo Word. CU-D4 ocupa dos imágenes por su longitud.</w:t>
      </w:r>
    </w:p>
    <w:p>
      <w:pPr>
        <w:pStyle w:val="CaptionCustom"/>
      </w:pPr>
      <w:r>
        <w:t>Tabla 19. Fuentes documentales de este maestro</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Código</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Documento o artefacto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20384D"/>
          </w:tcPr>
          <w:p>
            <w:pPr>
              <w:spacing w:after="0" w:line="252" w:lineRule="auto"/>
            </w:pPr>
            <w:r>
              <w:rPr>
                <w:rFonts w:ascii="Aptos" w:hAnsi="Aptos"/>
                <w:b/>
                <w:color w:val="FFFFFF"/>
                <w:sz w:val="15"/>
              </w:rPr>
              <w:t>Ruta en el repositorio</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B1</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Dominio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docs/DOMAIN-BASELINE.md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B2</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Decisiones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docs/DOMAIN-DECISION-REGISTER.md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PRD</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Definición de producto alineada</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docs/01-PRD.md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TRD</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Diseño técnico alineado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docs/02-TRD.md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UX</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Brief UI UX alineado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docs/04-UI-UX-DESIGN-BRIEF.md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BSC</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Backend Schema histórico delimitado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docs/05-BACKEND-SCHEMA.md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C1</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RF a CU</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docs/agenda/AGENDA-AVAILABILITY-RF-UC-MATRIX.md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C2</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Casos Agenda</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docs/agenda/AGENDA-AVAILABILITY-USE-CASES.md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C3</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Contratos Agenda</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docs/agenda/AGENDA-AVAILABILITY-CONTRACT-DESIGN.md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C4</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Especificaciones CU</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docs/agenda/AGENDA-AVAILABILITY-USE-CASE-SPECIFICATIONS.md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D1</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UML general</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docs/agenda/uml/AGENDA-AVAILABILITY-USE-CASE-DIAGRAM.md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D2</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Detalles CU</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docs/agenda/use-cases/AGENDA-AVAILABILITY-USE-CASE-DETAILS.md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D31</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Escenarios implementados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docs/agenda/scenarios/AGENDA-IMPLEMENTED-SCENARIOS.md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D32</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Escenarios parciales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docs/agenda/scenarios/AGENDA-PARTIAL-SCENARIOS.md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D33</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Escenarios conceptuales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docs/agenda/scenarios/AGENDA-CONCEPTUAL-SCENARIOS.md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D4</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Consolidación UML</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docs/agenda/consolidation/AGENDA-FULL-TRACEABILITY-MATRIX.md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D4C</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Catálogo de casos de uso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docs/agenda/consolidation/AGENDA-USE-CASE-CATALOG.md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D4A</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Matriz Actor CU</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docs/agenda/consolidation/AGENDA-ACTOR-USECASE-MATRIX.md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API</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Especificación API alineada</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docs/06-API-SPECIFICATION.md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ARQ</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Arquitectura backend</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docs/architecture/BACKEND-ARCHITECTURE.md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CON</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Contratos modulares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docs/contracts/MODULE-CONTRACTS-ARCHITECTURE.md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DB</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Diseño de datos alineado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docs/database/DATABASE-DESIGN.md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PRO</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Arquitectura Professionals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docs/professionals/PROFESSIONAL-MANAGEMENT-ARCHITECTURE.md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USR</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Arquitectura Users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docs/users/USER-MANAGEMENT-ARCHITECTURE.md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PAT</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Arquitectura Patients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docs/patients/PATIENT-MANAGEMENT-ARCHITECTURE.md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APT</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Arquitectura Appointments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docs/appointments/APPOINTMENT-MANAGEMENT-ARCHITECTURE.md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SEC</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Arquitectura Security</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docs/security/SECURITY-ARCHITECTURE.md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THT</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Modelo de amenazas alineado</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docs/08-SECURITY-THREAT-MODEL.md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SRS</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Requisitos propuestos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docs/requisitos/SRS-HOSPITALPLATFORM.md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TES</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Estrategia de pruebas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docs/09-TEST-STRATEGY.md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TEP</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Plan de pruebas</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docs/10-TEST-PLAN.md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E32</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Alineación documental</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shd w:fill="F3F6F8"/>
          </w:tcPr>
          <w:p>
            <w:pPr>
              <w:spacing w:after="0" w:line="252" w:lineRule="auto"/>
            </w:pPr>
            <w:r>
              <w:rPr>
                <w:rFonts w:ascii="Aptos" w:hAnsi="Aptos"/>
                <w:sz w:val="15"/>
              </w:rPr>
              <w:t>docs/documentation-alignment/DOCUMENTATION-ALIGNMENT-REPORT.md</w:t>
            </w:r>
          </w:p>
        </w:tc>
      </w:tr>
      <w:tr>
        <w:tc>
          <w:tcPr>
            <w:tcW w:type="dxa" w:w="1020"/>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E321</w:t>
            </w:r>
          </w:p>
        </w:tc>
        <w:tc>
          <w:tcPr>
            <w:tcW w:type="dxa" w:w="2551"/>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Postauditoría de alineación</w:t>
            </w:r>
          </w:p>
        </w:tc>
        <w:tc>
          <w:tcPr>
            <w:tcW w:type="dxa" w:w="5839"/>
            <w:vAlign w:val="center"/>
            <w:tcMar>
              <w:top w:w="105" w:type="dxa"/>
              <w:start w:w="110" w:type="dxa"/>
              <w:bottom w:w="105" w:type="dxa"/>
              <w:end w:w="110" w:type="dxa"/>
            </w:tcMar>
            <w:tcBorders>
              <w:top w:val="single" w:sz="4" w:color="D9D9D9"/>
              <w:left w:val="single" w:sz="4" w:color="D9D9D9"/>
              <w:bottom w:val="single" w:sz="4" w:color="D9D9D9"/>
              <w:right w:val="single" w:sz="4" w:color="D9D9D9"/>
            </w:tcBorders>
          </w:tcPr>
          <w:p>
            <w:pPr>
              <w:spacing w:after="0" w:line="252" w:lineRule="auto"/>
            </w:pPr>
            <w:r>
              <w:rPr>
                <w:rFonts w:ascii="Aptos" w:hAnsi="Aptos"/>
                <w:sz w:val="15"/>
              </w:rPr>
              <w:t>docs/documentation-alignment/DOCUMENTATION-ALIGNMENT-POST-AUDIT.md</w:t>
            </w:r>
          </w:p>
        </w:tc>
      </w:tr>
    </w:tbl>
    <w:p>
      <w:pPr>
        <w:spacing w:after="40"/>
      </w:pPr>
    </w:p>
    <w:p>
      <w:r>
        <w:t>Diagramas fuente: docs/agenda/uml/AGENDA-AVAILABILITY-USE-CASE-DIAGRAM.puml y docs/agenda/scenarios/CU-D1 a CU-D8. La descripción textual y la clasificación corresponden al catálogo D.4 y a los informes D.3.1–D.3.3.</w:t>
      </w:r>
    </w:p>
    <w:sectPr w:rsidR="00FC693F" w:rsidRPr="0006063C" w:rsidSect="00034616">
      <w:headerReference w:type="default" r:id="rId9"/>
      <w:footerReference w:type="default" r:id="rId10"/>
      <w:pgSz w:w="11906" w:h="16838"/>
      <w:pgMar w:top="1162" w:right="1162" w:bottom="1106"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Caso de estudio académico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HOSPITALPLATFORM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920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60" w:after="200"/>
    </w:pPr>
    <w:rPr>
      <w:rFonts w:ascii="Aptos" w:hAnsi="Aptos"/>
      <w:color w:val="555B62"/>
      <w:sz w:val="16"/>
    </w:rPr>
  </w:style>
  <w:style w:type="paragraph" w:customStyle="1" w:styleId="MasterTitle">
    <w:name w:val="Master Title"/>
    <w:basedOn w:val="Normal"/>
    <w:pPr>
      <w:spacing w:after="240"/>
    </w:pPr>
    <w:rPr>
      <w:rFonts w:ascii="Aptos Display" w:hAnsi="Aptos Display"/>
      <w:color w:val="000000"/>
      <w:sz w:val="48"/>
    </w:rPr>
  </w:style>
  <w:style w:type="paragraph" w:customStyle="1" w:styleId="CaptionCustom">
    <w:name w:val="Caption Custom"/>
    <w:pPr>
      <w:keepNext/>
      <w:spacing w:before="180" w:after="80"/>
    </w:pPr>
    <w:rPr>
      <w:rFonts w:ascii="Aptos" w:hAnsi="Aptos"/>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