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HOSPITALPLATFORM</w:t>
      </w:r>
    </w:p>
    <w:p>
      <w:pPr>
        <w:pStyle w:val="Title"/>
        <w:jc w:val="center"/>
      </w:pPr>
      <w:r>
        <w:t>Anexo A Arquitectura</w:t>
      </w:r>
    </w:p>
    <w:p>
      <w:pPr>
        <w:jc w:val="center"/>
      </w:pPr>
      <w:r>
        <w:t>Backend, módulos, ownership y decisiones arquitectónicas</w:t>
      </w:r>
    </w:p>
    <w:p>
      <w:r>
        <w:t>Documento técnico complementario del maestro HOSPITALPLATFORM COMPLETE DOCUMENTATION. Caso de estudio académico; no acredita aprobación institucional ni operación hospitalaria productiva.</w:t>
      </w:r>
    </w:p>
    <w:p>
      <w:r>
        <w:t>Versión documental 1.0  |  30 de septiembre de 2026</w:t>
      </w:r>
    </w:p>
    <w:p>
      <w:r>
        <w:br w:type="page"/>
      </w:r>
    </w:p>
    <w:p>
      <w:pPr>
        <w:pStyle w:val="Heading1"/>
      </w:pPr>
      <w:r>
        <w:t>Alcance y criterio de lectura</w:t>
      </w:r>
    </w:p>
    <w:p>
      <w:r>
        <w:t>IMPLEMENTADO identifica conducta vigente respaldada por código y pruebas. PARCIAL conserva el subconjunto real y sus límites. CONCEPTUAL designa dominio aprobado sin API funcional. FUTURO requiere trabajo y decisiones posteriores. CLOSED no equivale a implementado; OPEN y PROPOSED no autorizan una regla nueva.</w:t>
      </w:r>
    </w:p>
    <w:p>
      <w:r>
        <w:t>El backend Spring Boot modular y PostgreSQL constituyen la base ejecutable. El diseño enumera módulos futuros, pero su nombre o tabla no acredita un servicio funcional. La relación entre módulos se interpreta desde DOMAIN BASELINE y los contratos públicos alineados.</w:t>
      </w:r>
    </w:p>
    <w:p>
      <w:pPr>
        <w:pStyle w:val="Heading1"/>
      </w:pPr>
      <w:r>
        <w:t>Arquitectura backend vigente</w:t>
      </w:r>
    </w:p>
    <w:p>
      <w:pPr>
        <w:pStyle w:val="ListBullet"/>
      </w:pPr>
      <w:r>
        <w:t>Backend monolítico modular bajo /api/v1, con límites por dominio. Los controllers exponen DTO y los services orquestan reglas de cada módulo. [DOMAIN BASELINE; BACKEND ARCHITECTURE]</w:t>
      </w:r>
    </w:p>
    <w:p>
      <w:pPr>
        <w:pStyle w:val="ListBullet"/>
      </w:pPr>
      <w:r>
        <w:t>Flyway V1–V3 gobierna el esquema PostgreSQL; Hibernate valida la estructura. Auth y Security usan JWT y el almacén de refresh tokens. [DOMAIN BASELINE]</w:t>
      </w:r>
    </w:p>
    <w:p>
      <w:pPr>
        <w:pStyle w:val="ListBullet"/>
      </w:pPr>
      <w:r>
        <w:t>La dependencia directa Auth/Security → Users persiste y su refactorización es PROPOSED en DEC-004; no se declara resuelta. [DECISION REGISTER]</w:t>
      </w:r>
    </w:p>
    <w:p>
      <w:pPr>
        <w:pStyle w:val="Heading1"/>
      </w:pPr>
      <w:r>
        <w:t>Módulos 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 / dato propio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Auth/Security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Login, JWT validation, refresh rotation/revocation, logout and security chain. Persistencia: refresh_tokens; security uses users.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Access identity, credentials, enabled state, roles and permissions. Persistencia: users, roles, permissions, joins.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Administrative patient identity, user link and active state derived from deleted_at. Persistencia: patients.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License identity, optional user link and active state derived from deleted_at. Persistencia: professionals.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IMPLEMENTED, specialties are partial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Schedules, availability-slot queries, usability, atomic reservation and release. Persistencia: schedules, availability_slots.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IMPLEMENTED, slot generation absent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 ownership, lifecycle, operational flow and orchestration. Persistencia: appointments.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Persist approved appointment events in the caller transaction. Persistencia: audit_logs.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PARTIAL event coverage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Catalogs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Intended specialty/service ownership. Persistencia: Schema has specialties and professional_specialties.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DEFINED_NOT_IMPLEMENTED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Waitlist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Intended waitlist and offers. Persistencia: V1 has waitlist_entries; no slot-offer table.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 / not 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Priority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Intended ambulatory priority review. Persistencia: V1 has priority_requests.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 / not 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Intended reminders and messages. Persistencia: No table or implementation.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 / not implemented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Intended operational indicators. Persistencia: No dedicated table or implementation.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DEFINED_NOT_IMPLEMENTED</w:t>
            </w:r>
          </w:p>
        </w:tc>
      </w:tr>
    </w:tbl>
    <w:p>
      <w:pPr>
        <w:spacing w:after="40"/>
      </w:pPr>
    </w:p>
    <w:p>
      <w:r>
        <w:t>Catalogs posee conceptualmente la definición de Specialty; Professionals posee la asignación N:M; Agenda posee schedules y slots; Appointments posee citas. DEC-006 aprueba esa frontera sin crear CRUD de Catalogs ni servicio de asociación. [DEC-006; C.3]</w:t>
      </w:r>
    </w:p>
    <w:p>
      <w:pPr>
        <w:pStyle w:val="Heading1"/>
      </w:pPr>
      <w:r>
        <w:t>Dependencias públicas actuales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Consumidor → proveedor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Contrato o dependencia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Patients → Users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UserLookupService, CurrentUserService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 service interfaces; no external repository/entity access.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→ Professionals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ProfessionalLookupService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Correct contract boundary.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→ Patients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PatientLookupService, PatientReference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Correct contract boundary.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→ Professionals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ProfessionalLookupService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Correct contract boundary.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→ Agenda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Reservation/release services and slot reference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Correct contract boundary.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→ Audit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AuditLogService, AuditEventType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Correct contract boundary.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→ Users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CurrentUserService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 service interface.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 → Users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CurrentUserService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 service interface.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Auth/Security → Users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entity/repository and user-detail services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Direct dependency remains an explicit architecture decision to resolve; not introduced here.</w:t>
            </w:r>
          </w:p>
        </w:tc>
      </w:tr>
    </w:tbl>
    <w:p>
      <w:pPr>
        <w:spacing w:after="40"/>
      </w:pPr>
    </w:p>
    <w:p>
      <w:r>
        <w:t>Appointments usa contratos de Patients, Professionals, Agenda, Audit y Users; el baseline no halló imports directos hacia repositories o entidades ajenas. Auth/Security conserva su acoplamiento explícito con Users como asunto DEC-004 PROPOSED.</w:t>
      </w:r>
    </w:p>
    <w:p>
      <w:r>
        <w:br w:type="page"/>
      </w:r>
    </w:p>
    <w:p>
      <w:pPr>
        <w:pStyle w:val="Heading1"/>
      </w:pPr>
      <w:r>
        <w:t>ADR relacionados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ADR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Lectura vigente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ADR-001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Monolito modular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Estilo arquitectónico actual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ADR-002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PostgreSQL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Persistencia actual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ADR-003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Autenticación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JWT y modelo de seguridad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ADR-004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Autenticación móvil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Objetivo OAuth2 + PKCE; sin cliente móvil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ADR-005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Roles y permisos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Roles actuales delimitados por DEC-002/020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ADR-006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Modelo de slots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Contrastar con Agenda actual y DEC-008 OPEN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ADR-007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Estados de citas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Estados y transiciones actuales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ADR-008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Prioridad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FUTURO; sin módulo funcional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ADR-009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Identificadores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UUID en persistencia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ADR-010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Soft delete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Comportamiento delimitado por código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ADR-011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Auditoría</w:t>
            </w:r>
          </w:p>
        </w:tc>
        <w:tc>
          <w:tcPr>
            <w:tcW w:type="dxa" w:w="56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Eventos actuales delimitados por DEC-015/022</w:t>
            </w:r>
          </w:p>
        </w:tc>
      </w:tr>
    </w:tbl>
    <w:p>
      <w:pPr>
        <w:spacing w:after="40"/>
      </w:pPr>
    </w:p>
    <w:p>
      <w:r>
        <w:t>Los ADR son decisiones de arquitectura; su lectura no sustituye la verificación de código. El registro DEC conserva la autoridad para OPEN, PROPOSED y FUTURE.</w:t>
      </w:r>
    </w:p>
    <w:p>
      <w:pPr>
        <w:pStyle w:val="Heading1"/>
      </w:pPr>
      <w:r>
        <w:t>Fuentes y vigencia</w:t>
      </w:r>
    </w:p>
    <w:p>
      <w:r>
        <w:t>Las rutas siguientes permiten contrastar cada afirmación con la documentación alineada. Los diseños históricos mencionados en esas fuentes conservan su etiqueta de antecedente y no se transfieren como funcionalidad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docs/DOMAIN-BASELINE.md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docs/DOMAIN-DECISION-REGISTER.md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ARCHITECTURE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docs/architecture/BACKEND-ARCHITECTURE.md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CONTRACTS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docs/contracts/MODULE-CONTRACTS-ARCHITECTURE.md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docs/agenda/AGENDA-AVAILABILITY-CONTRACT-DESIGN.md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ALIGNMENT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docs/documentation-alignment/DOCUMENTATION-ALIGNMENT-REPORT.md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POSTAUDIT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docs/documentation-alignment/DOCUMENTATION-ALIGNMENT-POST-AUDIT.md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docs/documentation-export/HOSPITALPLATFORM-COMPLETE-DOCUMENTATION.docx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ADR001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docs/adr/ADR-001-architecture-monolith-modular.md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ADR002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docs/adr/ADR-002-database-postgresql.md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docs/adr/ADR-003-authentication-strategy.md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ADR004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docs/adr/ADR-004-mobile-authentication.md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ADR005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docs/adr/ADR-005-role-permission-model.md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ADR006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docs/adr/ADR-006-agenda-slot-model.md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ADR007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docs/adr/ADR-007-appointment-state-machine.md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ADR008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docs/adr/ADR-008-priority-management.md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ADR009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docs/adr/ADR-009-database-identifier-strategy.md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ADR010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docs/adr/ADR-010-soft-delete-strategy.md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ADR011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docs/adr/ADR-011-audit-storage-strategy.md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Caso de estudio académico  ·  30 septiembre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000000"/>
        <w:sz w:val="16"/>
      </w:rPr>
      <w:t>HOSPITALPLATFORM  |  ANEXO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HOSPITALPLATFORM Anexo A Arquitectura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