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HOSPITALPLATFORM</w:t>
      </w:r>
    </w:p>
    <w:p>
      <w:pPr>
        <w:pStyle w:val="Title"/>
        <w:jc w:val="center"/>
      </w:pPr>
      <w:r>
        <w:t>Anexo B API y contratos</w:t>
      </w:r>
    </w:p>
    <w:p>
      <w:pPr>
        <w:jc w:val="center"/>
      </w:pPr>
      <w:r>
        <w:t>Rutas vigentes, contratos modulares y propuestas separadas</w:t>
      </w:r>
    </w:p>
    <w:p>
      <w:r>
        <w:t>Documento técnico complementario del maestro HOSPITALPLATFORM COMPLETE DOCUMENTATION. Caso de estudio académico; no acredita aprobación institucional ni operación hospitalaria productiva.</w:t>
      </w:r>
    </w:p>
    <w:p>
      <w:r>
        <w:t>Versión documental 1.0  |  30 de septiembre de 2026</w:t>
      </w:r>
    </w:p>
    <w:p>
      <w:r>
        <w:br w:type="page"/>
      </w:r>
    </w:p>
    <w:p>
      <w:pPr>
        <w:pStyle w:val="Heading1"/>
      </w:pPr>
      <w:r>
        <w:t>Alcance y criterio de lectura</w:t>
      </w:r>
    </w:p>
    <w:p>
      <w:r>
        <w:t>IMPLEMENTADO identifica conducta vigente respaldada por código y pruebas. PARCIAL conserva el subconjunto real y sus límites. CONCEPTUAL designa dominio aprobado sin API funcional. FUTURO requiere trabajo y decisiones posteriores. CLOSED no equivale a implementado; OPEN y PROPOSED no autorizan una regla nueva.</w:t>
      </w:r>
    </w:p>
    <w:p>
      <w:r>
        <w:t>DEC-019 establece que los controllers y DTO Java delimitan el contrato funcional actual. La especificación API alineada conserva ejemplos y rutas históricas identificados como tales. Este anexo presenta la matriz vigente del DOMAIN BASELINE y distingue C.3 como diseño.</w:t>
      </w:r>
    </w:p>
    <w:p>
      <w:pPr>
        <w:pStyle w:val="Heading1"/>
      </w:pPr>
      <w:r>
        <w:t>API actual bajo /api/v1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Autorización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Entrada / respuesta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/auth/login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Email/password -&gt; token response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/auth/refresh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Public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Refresh token -&gt; rotated token response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/auth/logout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Authenticated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204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POST/GET /users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DTO / list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/users/me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Authenticated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GET/PUT /users/{id}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DTO/update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 /users/{id}/status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{enabled} -&gt; User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/users/{id}/roles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Role set -&gt; User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POST/GET /patients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DTO / list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/patients/me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GET/PUT /patients/{id}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DTO/update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 /patients/{id}/status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INACTIVE -&gt; Patient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/patients/{id}/user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 UUID -&gt; Patient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POST/GET /professionals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DTO / list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GET/PUT /professionals/{id}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 DTO/update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POST/GET /agendas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DTO / filtered 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GET/PUT /agendas/{id}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DTO/update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PATCH /agendas/{id}/status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{active} -&gt; Agenda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/availability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Optional filters -&gt; 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/availability/{id}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Slot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POST/GET /appointments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PATIENT/ADMIN/RECEPTIONIST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Create DTO -&gt; 201; role-filtered 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GET /appointments/{id}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own/ADMIN/RECEPTIONIST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/appointments/{id}/confirm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own/ADMIN/RECEPTIONIST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/appointments/{id}/cancel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own/ADMIN/RECEPTIONIST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/appointments/{id}/reschedule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 own/ADMIN/RECEPTIONIST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Slot DTO -&gt; 201 successor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/appointments/{id}/check-in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/appointments/{id}/waiting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RECEPTIONIST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/appointments/{id}/start-attention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Assigned PROFESSIONAL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 /appointments/{id}/complete</w:t>
            </w:r>
          </w:p>
        </w:tc>
        <w:tc>
          <w:tcPr>
            <w:tcW w:type="dxa" w:w="2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Assigned PROFESSIONAL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No body -&gt; Appointment DTO</w:t>
            </w:r>
          </w:p>
        </w:tc>
      </w:tr>
    </w:tbl>
    <w:p>
      <w:pPr>
        <w:spacing w:after="40"/>
      </w:pPr>
    </w:p>
    <w:p>
      <w:r>
        <w:t>Las operaciones de PATIENT están sujetas al vínculo de propiedad; start-attention y complete corresponden al PROFESSIONAL asignado. Las respuestas de los controllers no comparten envelope universal ni paginación universal.</w:t>
      </w:r>
    </w:p>
    <w:p>
      <w:pPr>
        <w:pStyle w:val="Heading1"/>
      </w:pPr>
      <w:r>
        <w:t>Contratos modulares existentes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Contrato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Propietario y uso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Capacidad expuesta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UserLookupService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Users / Patients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existsActiveUser(UUID) -&gt; boolean.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CurrentUserService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Users / Patients, Appointments, Audit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currentUserId() -&gt; UUID.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PatientLookupService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Patients / Appointments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Existence, active existence, minimal reference, active reference by user. PatientReference exposes id and derived active.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ProfessionalLookupService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Professionals / Agenda, Appointments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existsActiveProfessional; isActiveProfessionalLinkedToUser.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AvailabilitySlotService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/ potential readers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Existence, persisted availability and usability.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AvailabilitySlotReservationService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/ Appointments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Atomically reserves a usable slot and returns slot/professional/specialty/date/time reference.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AvailabilitySlotReleaseService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Agenda / Appointments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Atomically releases a reserved slot.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AuditLogService</w:t>
            </w:r>
          </w:p>
        </w:tc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Audit / Appointments</w:t>
            </w:r>
          </w:p>
        </w:tc>
        <w:tc>
          <w:tcPr>
            <w:tcW w:type="dxa" w:w="49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Records event, entity, actor-derived context and old/new maps in an existing transaction.</w:t>
            </w:r>
          </w:p>
        </w:tc>
      </w:tr>
    </w:tbl>
    <w:p>
      <w:pPr>
        <w:spacing w:after="40"/>
      </w:pPr>
    </w:p>
    <w:p>
      <w:pPr>
        <w:pStyle w:val="Heading1"/>
      </w:pPr>
      <w:r>
        <w:t>Diseños propuestos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Ámbito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Límite documental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Specialty Catalog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CONCEPTUAL / PROPUESTO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DEC-006 fija Catalogs como propietario; sin controller, DTO, servicio ni CRUD Java.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Professional–Specialty N:M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CONCEPTUAL / PROPUESTO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Professionals gestionaría la asociación; la tabla V1 no constituye contrato de aplicación.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Disponibilidad sanitizada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CONCEPTUAL / PROPUESTO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DEC-007 aprueba actores y minimización; faltan endpoint, campos y permisos configurados.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Validación ampliada de Schedule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PROPUESTO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Especialidad activa y asociación no se validan hoy; DEC-008/010 siguen OPEN.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Auth → Users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PROPOSED</w:t>
            </w:r>
          </w:p>
        </w:tc>
        <w:tc>
          <w:tcPr>
            <w:tcW w:type="dxa" w:w="52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DEC-004 trata la frontera futura; hoy hay dependencia directa.</w:t>
            </w:r>
          </w:p>
        </w:tc>
      </w:tr>
    </w:tbl>
    <w:p>
      <w:pPr>
        <w:spacing w:after="40"/>
      </w:pPr>
    </w:p>
    <w:p>
      <w:pPr>
        <w:pStyle w:val="Heading2"/>
      </w:pPr>
      <w:r>
        <w:t>Rutas documentadas sin implementación</w:t>
      </w:r>
    </w:p>
    <w:p>
      <w:pPr>
        <w:pStyle w:val="ListBullet"/>
      </w:pPr>
      <w:r>
        <w:t>/auth/register, /auth/me (current profile is /users/me).</w:t>
      </w:r>
    </w:p>
    <w:p>
      <w:pPr>
        <w:pStyle w:val="ListBullet"/>
      </w:pPr>
      <w:r>
        <w:t>Role and permission resources.</w:t>
      </w:r>
    </w:p>
    <w:p>
      <w:pPr>
        <w:pStyle w:val="ListBullet"/>
      </w:pPr>
      <w:r>
        <w:t>Patient self-update /patients/me.</w:t>
      </w:r>
    </w:p>
    <w:p>
      <w:pPr>
        <w:pStyle w:val="ListBullet"/>
      </w:pPr>
      <w:r>
        <w:t>Specialty/content/public resources.</w:t>
      </w:r>
    </w:p>
    <w:p>
      <w:pPr>
        <w:pStyle w:val="ListBullet"/>
      </w:pPr>
      <w:r>
        <w:t>Professional status endpoint and professional operational query views.</w:t>
      </w:r>
    </w:p>
    <w:p>
      <w:pPr>
        <w:pStyle w:val="ListBullet"/>
      </w:pPr>
      <w:r>
        <w:t>Patient/reception availability API.</w:t>
      </w:r>
    </w:p>
    <w:p>
      <w:pPr>
        <w:pStyle w:val="ListBullet"/>
      </w:pPr>
      <w:r>
        <w:t>Waitlist, priority, notifications, workflow aggregate and dashboard/metrics resources.</w:t>
      </w:r>
    </w:p>
    <w:p>
      <w:pPr>
        <w:pStyle w:val="ListBullet"/>
      </w:pPr>
      <w:r>
        <w:t>OpenAPI contract file, rate limiting and a universal response envelope.</w:t>
      </w:r>
    </w:p>
    <w:p>
      <w:r>
        <w:t>Los ejemplos de /specialties, /dashboard/metrics, /auth/register y /auth/me de la especificación anterior no son endpoints vigentes. Tampoco se infieren métodos nuevos a partir de los contratos candidatos de C.3.</w:t>
      </w:r>
    </w:p>
    <w:p>
      <w:pPr>
        <w:pStyle w:val="Heading1"/>
      </w:pPr>
      <w:r>
        <w:t>Fuentes y vigencia</w:t>
      </w:r>
    </w:p>
    <w:p>
      <w:r>
        <w:t>Las rutas siguientes permiten contrastar cada afirmación con la documentación alineada. Los diseños históricos mencionados en esas fuentes conservan su etiqueta de antecedente y no se transfieren como funcionalidad vigente.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Ruta en el repositorio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BASELINE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docs/DOMAIN-BASELINE.md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DECISIONS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docs/DOMAIN-DECISION-REGISTER.md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API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docs/06-API-SPECIFICATION.md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CONTRACTS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docs/contracts/MODULE-CONTRACTS-ARCHITECTURE.md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C3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docs/agenda/AGENDA-AVAILABILITY-CONTRACT-DESIGN.md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C4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docs/agenda/AGENDA-AVAILABILITY-USE-CASE-SPECIFICATIONS.md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POSTAUDIT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docs/documentation-alignment/DOCUMENTATION-ALIGNMENT-POST-AUDIT.md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MASTER</w:t>
            </w:r>
          </w:p>
        </w:tc>
        <w:tc>
          <w:tcPr>
            <w:tcW w:type="dxa" w:w="84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</w:tcPr>
          <w:p>
            <w:pPr>
              <w:spacing w:after="0"/>
            </w:pPr>
            <w:r>
              <w:rPr>
                <w:rFonts w:ascii="Aptos" w:hAnsi="Aptos"/>
                <w:sz w:val="18"/>
              </w:rPr>
              <w:t>docs/documentation-export/HOSPITALPLATFORM-COMPLETE-DOCUMENTATION.docx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23" w:bottom="936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Caso de estudio académico  ·  30 septiembre 2026  ·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000000"/>
        <w:sz w:val="16"/>
      </w:rPr>
      <w:t>HOSPITALPLATFORM  |  ANEXO 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HOSPITALPLATFORM Anexo B API y contratos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