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HOSPITALPLATFORM</w:t>
      </w:r>
    </w:p>
    <w:p>
      <w:pPr>
        <w:pStyle w:val="Title"/>
        <w:jc w:val="center"/>
      </w:pPr>
      <w:r>
        <w:t>Anexo C Modelo de datos</w:t>
      </w:r>
    </w:p>
    <w:p>
      <w:pPr>
        <w:jc w:val="center"/>
      </w:pPr>
      <w:r>
        <w:t>Persistencia física, relaciones y migraciones V1 a V3</w:t>
      </w:r>
    </w:p>
    <w:p>
      <w:r>
        <w:t>Documento técnico complementario del maestro HOSPITALPLATFORM COMPLETE DOCUMENTATION. Caso de estudio académico; no acredita aprobación institucional ni operación hospitalaria productiva.</w:t>
      </w:r>
    </w:p>
    <w:p>
      <w:r>
        <w:t>Versión documental 1.0  |  30 de septiembre de 2026</w:t>
      </w:r>
    </w:p>
    <w:p>
      <w:r>
        <w:br w:type="page"/>
      </w:r>
    </w:p>
    <w:p>
      <w:pPr>
        <w:pStyle w:val="Heading1"/>
      </w:pPr>
      <w:r>
        <w:t>Alcance y criterio de lectura</w:t>
      </w:r>
    </w:p>
    <w:p>
      <w:r>
        <w:t>IMPLEMENTADO identifica conducta vigente respaldada por código y pruebas. PARCIAL conserva el subconjunto real y sus límites. CONCEPTUAL designa dominio aprobado sin API funcional. FUTURO requiere trabajo y decisiones posteriores. CLOSED no equivale a implementado; OPEN y PROPOSED no autorizan una regla nueva.</w:t>
      </w:r>
    </w:p>
    <w:p>
      <w:r>
        <w:t>El diseño físico se determina por Flyway V1–V3; DATABASE DESIGN es una descripción alineada que también conserva antecedentes. La presencia de una tabla no acredita API ni módulo funcional.</w:t>
      </w:r>
    </w:p>
    <w:p>
      <w:pPr>
        <w:pStyle w:val="Heading1"/>
      </w:pPr>
      <w:r>
        <w:t>Modelo persistente vigente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Tablas y migración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Uso actual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Identity/RBAC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users, roles, permissions, user_roles, role_permissions / V1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Entities/repositories/services implemented; no seed migration.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Patients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patients / V1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 with optional user FK and deleted_at.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Professionals/catalog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professionals, specialties, professional_specialties / V1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 entity implemented; specialty/catalog APIs absent.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schedules, availability_slots / V1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 schedules/reads and slot state contracts; no slot generation.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appointments / V1 + V3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Implemented. V3 adds predecessor FK/unique constraint and active-slot partial unique index.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Waitlist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waitlist_entries / V1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Schema only; documented target states differ from V1 and require a migration decision before implementation.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Priority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priority_requests / V1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Schema only; ADR-008 concept exists, policy/API absent.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audit_logs / V1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 for seven appointment transition events; IP/user-agent remain null.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Refresh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refresh_tokens / V2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Implemented hash, expiry, revocation and user FK.</w:t>
            </w:r>
          </w:p>
        </w:tc>
      </w:tr>
    </w:tbl>
    <w:p>
      <w:pPr>
        <w:spacing w:after="40"/>
      </w:pPr>
    </w:p>
    <w:p>
      <w:r>
        <w:t>Las claves principales son UUID. Flyway administra el esquema y Hibernate utiliza ddl-auto=validate. Las migraciones son evidencia del modelo físico; no autorizan políticas de negocio pendientes.</w:t>
      </w:r>
    </w:p>
    <w:p>
      <w:pPr>
        <w:pStyle w:val="Heading1"/>
      </w:pPr>
      <w:r>
        <w:t>Relaciones y restricciones relevantes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Evidencia física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Límite funcional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 ↔ Patient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FK opcional en patients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Vínculo administrativo vigente; self-registration/self-update DEC-017 OPEN.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 ↔ Professional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FK opcional único professionals.user_id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 admite userId; ciclo de vinculación DEC-005 OPEN.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 ↔ Specialty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professional_specialties con pareja de FK/PK N:M en V1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Asociación Java/API CONCEPTUAL; DEC-006 solo cierra ownership y cardinalidad.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Schedule → Professional y Specialty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FK de schedules en V1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 valida profesional activo; la FK no valida specialty activa ni asignada.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Availability Slot → Schedule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FK y estado persistido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existe generación automática de slots; DEC-008 OPEN.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 → Slot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Relación en V1 y refuerzo V3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Reserva/release transaccionales actuales; no-show DEC-011 FUTURE.</w:t>
            </w:r>
          </w:p>
        </w:tc>
      </w:tr>
    </w:tbl>
    <w:p>
      <w:pPr>
        <w:spacing w:after="40"/>
      </w:pPr>
    </w:p>
    <w:p>
      <w:pPr>
        <w:pStyle w:val="Heading1"/>
      </w:pPr>
      <w:r>
        <w:t>Migraciones existentes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Migración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Contenido verificado en baseline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V1__initial_schema.sql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roles/permisos, pacientes, profesionales, specialties y N:M, schedules, slots, appointments, waitlist_entries, priority_requests, audit_logs.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Esquema inicial; waitlist, priority y Catalogs no tienen por ello módulo Java funcional.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V2__create_refresh_tokens.sql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Refresh tokens vinculados a usuario.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Soporta rotación/revocación actual.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V3__support_appointment_lifecycle.sql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Relación de predecesor para reprogramación e índice parcial uq_appointments_active_slot sobre citas SCHEDULED/CONFIRMED.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Protege la asignación activa de slot. La cancelación o reprogramación permite reutilización.</w:t>
            </w:r>
          </w:p>
        </w:tc>
      </w:tr>
    </w:tbl>
    <w:p>
      <w:pPr>
        <w:spacing w:after="40"/>
      </w:pPr>
    </w:p>
    <w:p>
      <w:r>
        <w:t>V1–V3 se mantienen sin cambios. El diseño no fija generación de slots, ventanas temporales, retención de auditoría ni estrategia operacional de backup; DEC-008/010/022/023 siguen OPEN.</w:t>
      </w:r>
    </w:p>
    <w:p>
      <w:r>
        <w:br w:type="page"/>
      </w:r>
    </w:p>
    <w:p>
      <w:pPr>
        <w:pStyle w:val="Heading1"/>
      </w:pPr>
      <w:r>
        <w:t>Fuentes y vigencia</w:t>
      </w:r>
    </w:p>
    <w:p>
      <w:r>
        <w:t>Las rutas siguientes permiten contrastar cada afirmación con la documentación alineada. Los diseños históricos mencionados en esas fuentes conservan su etiqueta de antecedente y no se transfieren como funcionalidad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Ruta en el repositorio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BASELINE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docs/DOMAIN-BASELINE.md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DECISIONS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docs/DOMAIN-DECISION-REGISTER.md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DATABASE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docs/database/DATABASE-DESIGN.md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C3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docs/agenda/AGENDA-AVAILABILITY-CONTRACT-DESIGN.md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POSTAUDIT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docs/documentation-alignment/DOCUMENTATION-ALIGNMENT-POST-AUDIT.md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MASTER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docs/documentation-export/HOSPITALPLATFORM-COMPLETE-DOCUMENTATION.docx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Caso de estudio académico  ·  30 septiembre 2026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000000"/>
        <w:sz w:val="16"/>
      </w:rPr>
      <w:t>HOSPITALPLATFORM  |  ANEXO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HOSPITALPLATFORM Anexo C Modelo de datos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