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HOSPITALPLATFORM</w:t>
      </w:r>
    </w:p>
    <w:p>
      <w:pPr>
        <w:pStyle w:val="Title"/>
        <w:jc w:val="center"/>
      </w:pPr>
      <w:r>
        <w:t>Anexo E Testing</w:t>
      </w:r>
    </w:p>
    <w:p>
      <w:pPr>
        <w:jc w:val="center"/>
      </w:pPr>
      <w:r>
        <w:t>Estrategia, plan, evidencia comprobada y brechas</w:t>
      </w:r>
    </w:p>
    <w:p>
      <w:r>
        <w:t>Documento técnico complementario del maestro HOSPITALPLATFORM COMPLETE DOCUMENTATION. Caso de estudio académico; no acredita aprobación institucional ni operación hospitalaria productiva.</w:t>
      </w:r>
    </w:p>
    <w:p>
      <w:r>
        <w:t>Versión documental 1.0  |  30 de septiembre de 2026</w:t>
      </w:r>
    </w:p>
    <w:p>
      <w:r>
        <w:br w:type="page"/>
      </w:r>
    </w:p>
    <w:p>
      <w:pPr>
        <w:pStyle w:val="Heading1"/>
      </w:pPr>
      <w:r>
        <w:t>Alcance y criterio de lectura</w:t>
      </w:r>
    </w:p>
    <w:p>
      <w:r>
        <w:t>IMPLEMENTADO identifica conducta vigente respaldada por código y pruebas. PARCIAL conserva el subconjunto real y sus límites. CONCEPTUAL designa dominio aprobado sin API funcional. FUTURO requiere trabajo y decisiones posteriores. CLOSED no equivale a implementado; OPEN y PROPOSED no autorizan una regla nueva.</w:t>
      </w:r>
    </w:p>
    <w:p>
      <w:r>
        <w:t>La estrategia y el plan describen pruebas previstas además de resultados. Este anexo separa evidencia ejecutada en el corte del DOMAIN BASELINE de criterios SRS pendientes. No se ejecutaron pruebas ni Maven para esta exportación.</w:t>
      </w:r>
    </w:p>
    <w:p>
      <w:pPr>
        <w:pStyle w:val="Heading1"/>
      </w:pPr>
      <w:r>
        <w:t>Estrategia y plan alineados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Componente / nivel</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Tratamiento documental</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Estado</w:t>
            </w:r>
          </w:p>
        </w:tc>
      </w:tr>
      <w:tr>
        <w:trPr>
          <w:cantSplit/>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Servicios y contratos backend</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Pruebas unitarias y de integración sobre reglas, límites y errores.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Evidencia existente solo en suites reportadas.</w:t>
            </w:r>
          </w:p>
        </w:tc>
      </w:tr>
      <w:tr>
        <w:trPr>
          <w:cantSplit/>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HTTP y seguridad</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MockMvc/autorización, JWT y ownership; la matriz de casos del plan incluye propuestas.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Separar casos ejecutados de FT proyectados.</w:t>
            </w:r>
          </w:p>
        </w:tc>
      </w:tr>
      <w:tr>
        <w:trPr>
          <w:cantSplit/>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Persistencia</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PostgreSQL Testcontainers con Flyway y constraints reales.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Evidencia existente en suites de integración.</w:t>
            </w:r>
          </w:p>
        </w:tc>
      </w:tr>
      <w:tr>
        <w:trPr>
          <w:cantSplit/>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Web y móvil</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Flujos, accesibilidad y usabilidad en estrategia.</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Sin clientes funcionales rastreados; no declarar cobertura.</w:t>
            </w:r>
          </w:p>
        </w:tc>
      </w:tr>
      <w:tr>
        <w:trPr>
          <w:cantSplit/>
        </w:trPr>
        <w:tc>
          <w:tcPr>
            <w:tcW w:type="dxa" w:w="216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Rendimiento y operación</w:t>
            </w:r>
          </w:p>
        </w:tc>
        <w:tc>
          <w:tcPr>
            <w:tcW w:type="dxa" w:w="475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Escenarios de carga, backup y observabilidad en SRS/plan.</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Sin evidencia de aceptación; DEC-023 OPEN.</w:t>
            </w:r>
          </w:p>
        </w:tc>
      </w:tr>
    </w:tbl>
    <w:p>
      <w:pPr>
        <w:spacing w:after="40"/>
      </w:pPr>
    </w:p>
    <w:p>
      <w:pPr>
        <w:pStyle w:val="Heading1"/>
      </w:pPr>
      <w:r>
        <w:t>Evidencia al corte de DOMAIN BASELINE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Suite</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Reports</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Tests</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Failures</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Errors</w:t>
            </w:r>
          </w:p>
        </w:tc>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6"/>
              </w:rPr>
              <w:t>Skipped</w:t>
            </w:r>
          </w:p>
        </w:tc>
      </w:tr>
      <w:tr>
        <w:trPr>
          <w:cantSplit/>
        </w:trPr>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Surefire unit/slice</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27</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154</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r>
      <w:tr>
        <w:trPr>
          <w:cantSplit/>
        </w:trPr>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Failsafe integration</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8</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63</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0</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0</w:t>
            </w:r>
          </w:p>
        </w:tc>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6"/>
              </w:rPr>
              <w:t>0</w:t>
            </w:r>
          </w:p>
        </w:tc>
      </w:tr>
      <w:tr>
        <w:trPr>
          <w:cantSplit/>
        </w:trPr>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Total</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35</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217</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c>
          <w:tcPr>
            <w:tcW w:type="dxa" w:w="12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6"/>
              </w:rPr>
              <w:t>0</w:t>
            </w:r>
          </w:p>
        </w:tc>
      </w:tr>
    </w:tbl>
    <w:p>
      <w:pPr>
        <w:spacing w:after="40"/>
      </w:pPr>
    </w:p>
    <w:p>
      <w:r>
        <w:t>Las cifras proceden de los reportes Maven examinados al corte del baseline; no equivalen a una nueva ejecución en E.3.3.2.</w:t>
      </w:r>
    </w:p>
    <w:p>
      <w:pPr>
        <w:pStyle w:val="ListBullet"/>
      </w:pPr>
      <w:r>
        <w:t>Unit tests for services, mappers, validation, roles, ownership, lifecycle and contracts.</w:t>
      </w:r>
    </w:p>
    <w:p>
      <w:pPr>
        <w:pStyle w:val="ListBullet"/>
      </w:pPr>
      <w:r>
        <w:t>MockMvc/controller authorization and error mapping.</w:t>
      </w:r>
    </w:p>
    <w:p>
      <w:pPr>
        <w:pStyle w:val="ListBullet"/>
      </w:pPr>
      <w:r>
        <w:t>PostgreSQL 16 Testcontainers with Flyway V1-V3 and Hibernate validation.</w:t>
      </w:r>
    </w:p>
    <w:p>
      <w:pPr>
        <w:pStyle w:val="ListBullet"/>
      </w:pPr>
      <w:r>
        <w:t>Real foreign keys, uniqueness, active-slot reuse and pessimistic locks.</w:t>
      </w:r>
    </w:p>
    <w:p>
      <w:pPr>
        <w:pStyle w:val="ListBullet"/>
      </w:pPr>
      <w:r>
        <w:t>Appointment reservation, release, lifecycle, audit, rollback and concurrent transitions.</w:t>
      </w:r>
    </w:p>
    <w:p>
      <w:pPr>
        <w:pStyle w:val="ListBullet"/>
      </w:pPr>
      <w:r>
        <w:t>Refresh-token contention with PostgreSQL blocking evidence and physical rollback after successor failure.</w:t>
      </w:r>
    </w:p>
    <w:p>
      <w:pPr>
        <w:pStyle w:val="ListBullet"/>
      </w:pPr>
      <w:r>
        <w:t>HTTP JWT cases for active, disabled, missing and soft-deleted users plus invalid and expired tokens.</w:t>
      </w:r>
    </w:p>
    <w:p>
      <w:pPr>
        <w:pStyle w:val="Heading1"/>
      </w:pPr>
      <w:r>
        <w:t>RF-014 y brechas</w:t>
      </w:r>
    </w:p>
    <w:p>
      <w:r>
        <w:t>AppointmentModuleIT.allowsOnlyOneOfTwoConcurrentReservations acredita la exclusión de doble reserva con 2 solicitudes concurrentes. El criterio SRS de 20 solicitudes simultáneas permanece PENDIENTE. El índice parcial V3 y el UPDATE condicional respaldan la invariante, pero no sustituyen ese ensayo de aceptación.</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Brecha</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Estado</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Fuente</w:t>
            </w:r>
          </w:p>
        </w:tc>
      </w:tr>
      <w:tr>
        <w:trPr>
          <w:cantSplit/>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Ensayo RF-014 de 20 solicitudes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PENDIENTE</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DOMAIN BASELINE; C.1/D.4; SRS</w:t>
            </w:r>
          </w:p>
        </w:tc>
      </w:tr>
      <w:tr>
        <w:trPr>
          <w:cantSplit/>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Disponibilidad sanitizada y asociación N:M</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CONCEPTUAL sin prueba funcional</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C.3; D.3.3</w:t>
            </w:r>
          </w:p>
        </w:tc>
      </w:tr>
      <w:tr>
        <w:trPr>
          <w:cantSplit/>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Generación de slots y reglas temporales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OPEN; sin pruebas de funcionalidad</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DEC-008/010</w:t>
            </w:r>
          </w:p>
        </w:tc>
      </w:tr>
      <w:tr>
        <w:trPr>
          <w:cantSplit/>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Frontend, móvil, accesibilidad y usabilidad</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Sin validación actual</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Test Strategy; DOMAIN BASELINE</w:t>
            </w:r>
          </w:p>
        </w:tc>
      </w:tr>
      <w:tr>
        <w:trPr>
          <w:cantSplit/>
        </w:trPr>
        <w:tc>
          <w:tcPr>
            <w:tcW w:type="dxa" w:w="360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Carga, backup y objetivos operacionales</w:t>
            </w:r>
          </w:p>
        </w:tc>
        <w:tc>
          <w:tcPr>
            <w:tcW w:type="dxa" w:w="3024"/>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Sin evidencia de aceptación</w:t>
            </w:r>
          </w:p>
        </w:tc>
        <w:tc>
          <w:tcPr>
            <w:tcW w:type="dxa" w:w="3312"/>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DEC-023; Test Strategy</w:t>
            </w:r>
          </w:p>
        </w:tc>
      </w:tr>
    </w:tbl>
    <w:p>
      <w:pPr>
        <w:spacing w:after="40"/>
      </w:pPr>
    </w:p>
    <w:p>
      <w:pPr>
        <w:pStyle w:val="Heading1"/>
      </w:pPr>
      <w:r>
        <w:t>Fuentes y vigencia</w:t>
      </w:r>
    </w:p>
    <w:p>
      <w:r>
        <w:t>Las rutas siguientes permiten contrastar cada afirmación con la documentación alineada. Los diseños históricos mencionados en esas fuentes conservan su etiqueta de antecedente y no se transfieren como funcionalidad vigente.</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Fuente</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17365D"/>
          </w:tcPr>
          <w:p>
            <w:pPr>
              <w:spacing w:after="0"/>
            </w:pPr>
            <w:r>
              <w:rPr>
                <w:rFonts w:ascii="Aptos" w:hAnsi="Aptos"/>
                <w:b/>
                <w:color w:val="FFFFFF"/>
                <w:sz w:val="18"/>
              </w:rPr>
              <w:t>Ruta en el repositorio</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BASELINE</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docs/DOMAIN-BASELINE.md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DECISIONS</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docs/DOMAIN-DECISION-REGISTER.md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STRATEGY</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docs/09-TEST-STRATEGY.md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PLAN</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docs/10-TEST-PLAN.md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C1</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docs/agenda/AGENDA-AVAILABILITY-RF-UC-MATRIX.md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D4</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docs/agenda/consolidation/AGENDA-FULL-TRACEABILITY-MATRIX.md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POSTAUDIT</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FFFFF"/>
          </w:tcPr>
          <w:p>
            <w:pPr>
              <w:spacing w:after="0"/>
            </w:pPr>
            <w:r>
              <w:rPr>
                <w:rFonts w:ascii="Aptos" w:hAnsi="Aptos"/>
                <w:sz w:val="18"/>
              </w:rPr>
              <w:t>docs/documentation-alignment/DOCUMENTATION-ALIGNMENT-POST-AUDIT.md</w:t>
            </w:r>
          </w:p>
        </w:tc>
      </w:tr>
      <w:tr>
        <w:trPr>
          <w:cantSplit/>
        </w:trPr>
        <w:tc>
          <w:tcPr>
            <w:tcW w:type="dxa" w:w="1440"/>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MASTER</w:t>
            </w:r>
          </w:p>
        </w:tc>
        <w:tc>
          <w:tcPr>
            <w:tcW w:type="dxa" w:w="8496"/>
            <w:vAlign w:val="center"/>
            <w:tcMar>
              <w:top w:w="100" w:type="dxa"/>
              <w:start w:w="100" w:type="dxa"/>
              <w:bottom w:w="100" w:type="dxa"/>
              <w:end w:w="100" w:type="dxa"/>
            </w:tcMar>
            <w:tcBorders>
              <w:top w:val="single" w:sz="4" w:color="D9D9D9"/>
              <w:left w:val="single" w:sz="4" w:color="D9D9D9"/>
              <w:bottom w:val="single" w:sz="4" w:color="D9D9D9"/>
              <w:right w:val="single" w:sz="4" w:color="D9D9D9"/>
            </w:tcBorders>
            <w:shd w:fill="F3F6F9"/>
          </w:tcPr>
          <w:p>
            <w:pPr>
              <w:spacing w:after="0"/>
            </w:pPr>
            <w:r>
              <w:rPr>
                <w:rFonts w:ascii="Aptos" w:hAnsi="Aptos"/>
                <w:sz w:val="18"/>
              </w:rPr>
              <w:t>docs/documentation-export/HOSPITALPLATFORM-COMPLETE-DOCUMENTATION.docx</w:t>
            </w:r>
          </w:p>
        </w:tc>
      </w:tr>
    </w:tbl>
    <w:p>
      <w:pPr>
        <w:spacing w:after="40"/>
      </w:pPr>
    </w:p>
    <w:sectPr w:rsidR="00FC693F" w:rsidRPr="0006063C" w:rsidSect="00034616">
      <w:headerReference w:type="default" r:id="rId9"/>
      <w:footerReference w:type="default" r:id="rId10"/>
      <w:pgSz w:w="12240" w:h="15840"/>
      <w:pgMar w:top="1080" w:right="1123" w:bottom="936"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Caso de estudio académico  ·  30 septiembre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000000"/>
        <w:sz w:val="16"/>
      </w:rPr>
      <w:t>HOSPITALPLATFORM  |  ANEXO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HOSPITALPLATFORM Anexo E Testing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