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cs="Arial" w:eastAsia="PingFang SC"/>
          <w:b/>
          <w:color w:val="000000"/>
          <w:sz w:val="36"/>
        </w:rPr>
        <w:t>StudySpace 组件候选与组件图</w:t>
        <w:br/>
        <w:t>StudySpace Кандидаты и диаграмма компонентов</w:t>
      </w:r>
    </w:p>
    <w:p>
      <w:r>
        <w:rPr>
          <w:rFonts w:ascii="Arial" w:hAnsi="Arial" w:cs="Arial" w:eastAsia="PingFang SC"/>
          <w:b w:val="0"/>
          <w:color w:val="000000"/>
          <w:sz w:val="18"/>
        </w:rPr>
        <w:t>Doc-ID SS-ARCH-03  |  v2  |  2026-10-14  |  DRAFT  |  组件候选／Кандидаты PROPOSED</w:t>
      </w:r>
    </w:p>
    <w:p>
      <w:r>
        <w:rPr>
          <w:rFonts w:ascii="Arial" w:hAnsi="Arial" w:cs="Arial" w:eastAsia="PingFang SC"/>
          <w:b w:val="0"/>
          <w:color w:val="000000"/>
          <w:sz w:val="21"/>
        </w:rPr>
        <w:t>本文件统一组件候选的职责、需求与场景来源，并结合组件图说明连接协议、数据和事务边界；正式表与图使用相同的 10 个组件编号。</w:t>
        <w:br/>
        <w:t>Документ объединяет ответственность, требования и сценарии кандидатов и поясняет протоколы, данные и границы транзакций по диаграмме; таблица и схема используют одинаковые 10 ID компонентов.</w:t>
      </w:r>
    </w:p>
    <w:p>
      <w:pPr>
        <w:pStyle w:val="Heading1"/>
      </w:pPr>
      <w:r>
        <w:rPr>
          <w:rFonts w:ascii="Arial" w:hAnsi="Arial" w:cs="Arial" w:eastAsia="PingFang SC"/>
          <w:b/>
          <w:color w:val="000000"/>
          <w:sz w:val="26"/>
        </w:rPr>
        <w:t>1 两份候选表的编号对应</w:t>
        <w:br/>
        <w:t>1 Сопоставление ID двух таблиц</w:t>
      </w:r>
    </w:p>
    <w:p>
      <w:r>
        <w:rPr>
          <w:rFonts w:ascii="Arial" w:hAnsi="Arial" w:cs="Arial" w:eastAsia="PingFang SC"/>
          <w:b w:val="0"/>
          <w:color w:val="000000"/>
          <w:sz w:val="21"/>
        </w:rPr>
        <w:t>SS-COMP-01 v1 的 8 项划分中，资源与可用性、数据存储与恢复采用较粗粒度；本版按 SS-ARCH-01 及组件图的 10 项划分统一。下表的左列只表示原 8 项表中的编号。</w:t>
        <w:br/>
        <w:t>В SS-COMP-01 v1 из 8 кандидатов ресурсы с доступностью и хранение с восстановлением сгруппированы крупнее; версия следует 10 кандидатам SS-ARCH-01 и схемы; левая колонка обозначает ID только исходной таблицы из 8 кандидатов.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3005"/>
        <w:gridCol w:w="10035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DFE9F2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/>
                <w:color w:val="000000"/>
                <w:sz w:val="19"/>
              </w:rPr>
              <w:t>原 8 项表</w:t>
              <w:br/>
              <w:t>Исходные 8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DFE9F2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/>
                <w:color w:val="000000"/>
                <w:sz w:val="19"/>
              </w:rPr>
              <w:t>统一表与图</w:t>
              <w:br/>
              <w:t>Единая таблица и схема</w:t>
            </w:r>
          </w:p>
        </w:tc>
        <w:tc>
          <w:tcPr>
            <w:tcW w:type="dxa" w:w="100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DFE9F2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/>
                <w:color w:val="000000"/>
                <w:sz w:val="19"/>
              </w:rPr>
              <w:t>职责对应</w:t>
              <w:br/>
              <w:t>Соответствие ответственности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SS-COMP-01</w:t>
              <w:br/>
              <w:t>CMP-001…003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CMP-001…003</w:t>
            </w:r>
          </w:p>
        </w:tc>
        <w:tc>
          <w:tcPr>
            <w:tcW w:type="dxa" w:w="100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界面、认证和校内审核分别对应，保持原有职责。</w:t>
              <w:br/>
              <w:t>Интерфейс, аутентификация и проверка вуза соответствуют по порядку с сохранением ответственности.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SS-COMP-01</w:t>
              <w:br/>
              <w:t>CMP-004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CMP-004 + CMP-005</w:t>
            </w:r>
          </w:p>
        </w:tc>
        <w:tc>
          <w:tcPr>
            <w:tcW w:type="dxa" w:w="100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资源与可用性分为房间座位及开放规则管理、位置筛选与空闲座位查询。</w:t>
              <w:br/>
              <w:t>Ресурсы и доступность разделены на ведение помещений мест и часов и поиск свободных мест.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SS-COMP-01</w:t>
              <w:br/>
              <w:t>CMP-005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CMP-006</w:t>
            </w:r>
          </w:p>
        </w:tc>
        <w:tc>
          <w:tcPr>
            <w:tcW w:type="dxa" w:w="100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预约事务对应图中的预约事务与冲突控制。</w:t>
              <w:br/>
              <w:t>Транзакции бронирования соответствуют компоненту транзакций и конфликтов на схеме.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SS-COMP-01</w:t>
              <w:br/>
              <w:t>CMP-006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CMP-007</w:t>
            </w:r>
          </w:p>
        </w:tc>
        <w:tc>
          <w:tcPr>
            <w:tcW w:type="dxa" w:w="100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预约记录与统计对应图中的记录和基础统计。</w:t>
              <w:br/>
              <w:t>Записи и статистика соответствуют записям и базовым показателям на схеме.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SS-COMP-01</w:t>
              <w:br/>
              <w:t>CMP-007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CMP-008 + CMP-009</w:t>
            </w:r>
          </w:p>
        </w:tc>
        <w:tc>
          <w:tcPr>
            <w:tcW w:type="dxa" w:w="100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数据存储与恢复分为审计及生命周期策略、数据访问与持久化及迁移支持。</w:t>
              <w:br/>
              <w:t>Хранение и восстановление разделены на аудит и жизненный цикл и доступ хранение и поддержку миграции.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SS-COMP-01</w:t>
              <w:br/>
              <w:t>CMP-008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CMP-010</w:t>
            </w:r>
          </w:p>
        </w:tc>
        <w:tc>
          <w:tcPr>
            <w:tcW w:type="dxa" w:w="100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可信学校核验来源保持为外部人工核验依赖。</w:t>
              <w:br/>
              <w:t>Доверенный источник вуза сохраняется как внешняя зависимость ручной проверки.</w:t>
            </w:r>
          </w:p>
        </w:tc>
      </w:tr>
    </w:tbl>
    <w:p>
      <w:pPr>
        <w:spacing w:line="220" w:lineRule="exact" w:after="40"/>
      </w:pPr>
      <w:r>
        <w:rPr>
          <w:rFonts w:ascii="Arial" w:hAnsi="Arial" w:cs="Arial" w:eastAsia="PingFang SC"/>
          <w:b w:val="0"/>
          <w:color w:val="000000"/>
          <w:sz w:val="18"/>
        </w:rPr>
        <w:t>需求基线为课堂需求登记 v0.2；SP-BR 是课堂业务需求，与工程 BR 业务规则分别编号。</w:t>
        <w:br/>
        <w:t>Требования Учебный реестр v0.2; учебные бизнес-потребности SP-BR и инженерные бизнес-правила BR имеют отдельные ID.</w:t>
      </w:r>
    </w:p>
    <w:p>
      <w:pPr>
        <w:spacing w:line="220" w:lineRule="exact" w:after="40"/>
      </w:pPr>
      <w:r>
        <w:rPr>
          <w:rFonts w:ascii="Arial" w:hAnsi="Arial" w:cs="Arial" w:eastAsia="PingFang SC"/>
          <w:b w:val="0"/>
          <w:color w:val="000000"/>
          <w:sz w:val="18"/>
        </w:rPr>
        <w:t>场景来源为用户故事待办 v1 的 US、EN 条目；设计依据为系统设计 0.3.0、DEC-016 与 OPEN-003。</w:t>
        <w:br/>
        <w:t>Сценарии Элементы US и EN бэклога v1; проектирование Проект системы 0.3.0, DEC-016 и OPEN-003.</w:t>
      </w:r>
    </w:p>
    <w:p>
      <w:pPr>
        <w:pStyle w:val="Heading1"/>
        <w:pageBreakBefore/>
      </w:pPr>
      <w:r>
        <w:rPr>
          <w:rFonts w:ascii="Arial" w:hAnsi="Arial" w:cs="Arial" w:eastAsia="PingFang SC"/>
          <w:b/>
          <w:color w:val="000000"/>
          <w:sz w:val="26"/>
        </w:rPr>
        <w:t>2 统一组件候选表</w:t>
        <w:br/>
        <w:t>2 Единая таблица кандидатов</w:t>
      </w:r>
    </w:p>
    <w:p>
      <w:r>
        <w:rPr>
          <w:rFonts w:ascii="Arial" w:hAnsi="Arial" w:cs="Arial" w:eastAsia="PingFang SC"/>
          <w:b w:val="0"/>
          <w:color w:val="000000"/>
          <w:sz w:val="20"/>
        </w:rPr>
        <w:t>共 10 个候选，9 个内部组件和 1 个外部学校核验依赖；各语言的职责均用一句话表述，来源汇总两份表的需求 ID 与用户故事。</w:t>
        <w:br/>
        <w:t>Всего 10 кандидатов: 9 внутренних и один внешний источник вуза; ответственность на каждом языке задана одним предложением, источники объединяют требования и истории обеих таблиц.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4819"/>
        <w:gridCol w:w="6066"/>
        <w:gridCol w:w="1814"/>
      </w:tblGrid>
      <w:tr>
        <w:trPr>
          <w:cantSplit/>
          <w:tblHeader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DFE9F2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/>
                <w:color w:val="000000"/>
                <w:sz w:val="19"/>
              </w:rPr>
              <w:t>候选组件</w:t>
              <w:br/>
              <w:t>Кандидат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DFE9F2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/>
                <w:color w:val="000000"/>
                <w:sz w:val="19"/>
              </w:rPr>
              <w:t>职责 一句话</w:t>
              <w:br/>
              <w:t>Ответственность одним предложением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DFE9F2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/>
                <w:color w:val="000000"/>
                <w:sz w:val="19"/>
              </w:rPr>
              <w:t>来源 需求与场景</w:t>
              <w:br/>
              <w:t>Источник требования и сценарии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DFE9F2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/>
                <w:color w:val="000000"/>
                <w:sz w:val="19"/>
              </w:rPr>
              <w:t>内部／外部</w:t>
              <w:br/>
              <w:t>Внутренний или внешний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CMP-001</w:t>
              <w:br/>
              <w:t>学生与管理员界面</w:t>
              <w:br/>
              <w:t>Интерфейс студента и администратора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向学生和管理员提供查询、预约、取消、审核及管理的中俄英界面，并通过统一业务 API 展示结果。</w:t>
              <w:br/>
              <w:t>Предоставляет студенту и администратору интерфейс поиска, бронирования, отмены, проверки и управления на китайском, русском и английском языках с результатами через единый бизнес API.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SP-C-004, SP-IF-001, SP-NFR-006</w:t>
              <w:br/>
              <w:t>US-001, US-002, US-003, US-004, US-005, US-006, US-015</w:t>
              <w:br/>
              <w:t>用户在手机或电脑上切换语言并完成对应角色的操作。</w:t>
              <w:br/>
              <w:t>Пользователь меняет язык и выполняет действия своей роли на телефоне или компьютере.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内部</w:t>
              <w:br/>
              <w:t>Внутренний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CMP-002</w:t>
              <w:br/>
              <w:t>账号认证与权限控制</w:t>
              <w:br/>
              <w:t>Аутентификация и права доступа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管理学生注册、登录退出、首位管理员创建和账号角色，并在服务端校验账号输入及受限操作权限。</w:t>
              <w:br/>
              <w:t>Управляет регистрацией, входом и выходом, созданием первого администратора и ролями и проверяет на сервере данные аккаунта и права закрытых операций.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SP-FR-001, SP-FR-002, SP-FR-003, SP-FR-004, SP-FR-026, SP-FR-031, SP-NFR-009, SP-NFR-010</w:t>
              <w:br/>
              <w:t>EN-001, US-004, US-007, US-008</w:t>
              <w:br/>
              <w:t>学生登录后不能调用管理接口，注册也不能自授管理员角色。</w:t>
              <w:br/>
              <w:t>Студент после входа не вызывает административные операции и не присваивает себе роль администратора при регистрации.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内部</w:t>
              <w:br/>
              <w:t>Внутренний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CMP-003</w:t>
              <w:br/>
              <w:t>校内身份审核与预约资格</w:t>
              <w:br/>
              <w:t>Проверка принадлежности к вузу и допуск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依据可信学校来源维护校内审核状态，并协调停用或身份变更时取消未结束预约。</w:t>
              <w:br/>
              <w:t>Ведёт статус проверки по доверенному источнику вуза и координирует отмену незавершённых записей при отключении аккаунта или изменении идентификационных данных.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SP-BR-003, SP-DR-001, SP-FR-020, SP-FR-021, SP-FR-022, SP-IF-002, SP-NFR-004</w:t>
              <w:br/>
              <w:t>US-004</w:t>
              <w:br/>
              <w:t>管理员核验后授予 VERIFIED；没有可信来源时不予通过。</w:t>
              <w:br/>
              <w:t>Администратор присваивает VERIFIED после проверки; без доверенного источника подтверждение запрещено.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内部</w:t>
              <w:br/>
              <w:t>Внутренний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CMP-004</w:t>
              <w:br/>
              <w:t>房间座位与开放规则管理</w:t>
              <w:br/>
              <w:t>Помещения места и правила работы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维护房间、座位、开放时间及允许调整的预约规则，并协调关闭资源时取消受影响预约。</w:t>
              <w:br/>
              <w:t>Ведёт помещения, места, часы работы и разрешённые настройки бронирования и координирует отмену затронутых записей при закрытии ресурсов.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SP-C-003, SP-FR-006, SP-FR-014, SP-FR-015, SP-FR-016, SP-FR-017, SP-FR-018, SP-NFR-004</w:t>
              <w:br/>
              <w:t>US-001, US-005, US-009</w:t>
              <w:br/>
              <w:t>管理员停用座位或缩减开放时段时，在同一事务取消受影响的未结束预约。</w:t>
              <w:br/>
              <w:t>Отключение места или сокращение часов атомарно отменяет затронутые незавершённые записи.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内部</w:t>
              <w:br/>
              <w:t>Внутренний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CMP-005</w:t>
              <w:br/>
              <w:t>位置筛选与座位可用性查询</w:t>
              <w:br/>
              <w:t>Поиск помещений и свободных мест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按位置、业务日期和合法时段筛选资源，返回启用且无重叠预约的空闲座位。</w:t>
              <w:br/>
              <w:t>Фильтрует ресурсы по расположению, деловой дате и допустимому интервалу и возвращает активные свободные места без пересекающихся записей.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SP-C-003, SP-FR-005, SP-FR-006, SP-FR-007, SP-NFR-002</w:t>
              <w:br/>
              <w:t>US-001, US-005, US-009</w:t>
              <w:br/>
              <w:t>学生按校区、日期和时段查找座位，已占用或停用座位不出现在结果中。</w:t>
              <w:br/>
              <w:t>Студент ищет место по кампусу, дате и времени; занятые и отключённые места исключены из результата.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内部</w:t>
              <w:br/>
              <w:t>Внутренний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CMP-006</w:t>
              <w:br/>
              <w:t>预约事务与冲突控制</w:t>
              <w:br/>
              <w:t>Транзакции бронирования и конфликты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在同一服务端事务内完成资格与时间校验、重叠检查及单座位预约创建或取消。</w:t>
              <w:br/>
              <w:t>В одной серверной транзакции проверяет допуск, время и пересечения и создаёт либо отменяет бронирование одного места.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SP-BR-002, SP-C-001, SP-C-002, SP-FR-008, SP-FR-009, SP-FR-010, SP-FR-011, SP-FR-012, SP-FR-017, SP-NFR-004</w:t>
              <w:br/>
              <w:t>EN-002, US-002, US-003, US-005, US-010</w:t>
              <w:br/>
              <w:t>同学生或同座位的重叠被拒绝；相邻及多条非重叠预约允许，重复取消不重复计数。</w:t>
              <w:br/>
              <w:t>Пересечения одного студента или места запрещены; соседние интервалы и несколько непересекающихся записей допустимы, повторная отмена не меняет счётчик.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内部</w:t>
              <w:br/>
              <w:t>Внутренний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CMP-007</w:t>
              <w:br/>
              <w:t>预约记录与基础统计</w:t>
              <w:br/>
              <w:t>Записи бронирований и показатели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在权限及保留期范围内查询预约记录，并按同一业务日期及 as_of 快照计算创建、取消和未结束三项统计。</w:t>
              <w:br/>
              <w:t>Выдаёт записи в пределах прав и срока хранения и вычисляет числа созданных, отменённых и незавершённых бронирований для одной деловой даты и снимка as_of.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SP-BR-004, SP-DR-002, SP-FR-013, SP-FR-019, SP-FR-023, SP-FR-024, SP-FR-025</w:t>
              <w:br/>
              <w:t>US-006</w:t>
              <w:br/>
              <w:t>学生仅见本人记录，管理员核对三项计数，保留期外数据显示不可统计。</w:t>
              <w:br/>
              <w:t>Студент видит только своё, администратор сверяет три показателя; очищенные по сроку данные обозначаются недоступными.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内部</w:t>
              <w:br/>
              <w:t>Внутренний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CMP-008</w:t>
              <w:br/>
              <w:t>审计与数据生命周期</w:t>
              <w:br/>
              <w:t>Аудит и жизненный цикл данных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记录必要审核及管理事件，并执行保留、身份清理、备份及恢复后的到期清理策略。</w:t>
              <w:br/>
              <w:t>Регистрирует необходимые события проверки и управления и выполняет правила хранения, очистки идентификационных данных, резервирования и очистки после восстановления.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SP-DR-001, SP-DR-002, SP-DR-003, SP-FR-022, SP-NFR-003</w:t>
              <w:br/>
              <w:t>EN-003, EN-004, EN-007</w:t>
              <w:br/>
              <w:t>审核仅保存必要引用，不存证明影像；按既有 180 天保留和最近 7 份备份策略处理数据。</w:t>
              <w:br/>
              <w:t>Проверка хранит необходимые ссылки без изображений документов; действуют прежние сроки 180 дней и последние 7 резервных копий.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内部</w:t>
              <w:br/>
              <w:t>Внутренний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CMP-009</w:t>
              <w:br/>
              <w:t>数据访问与持久化</w:t>
              <w:br/>
              <w:t>Доступ к данным и хранение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提供账号、资源、预约及审核记录的统一持久化访问，并支持约束、锁、事务和数据库迁移。</w:t>
              <w:br/>
              <w:t>Предоставляет единый доступ к сохранённым аккаунтам, ресурсам, бронированиям и событиям проверки с поддержкой ограничений, блокировок, транзакций и миграции БД.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SP-C-005, SP-DR-001, SP-NFR-004, SP-NFR-005, SP-TR-001</w:t>
              <w:br/>
              <w:t>EN-002, EN-003, EN-004</w:t>
              <w:br/>
              <w:t>沿用 SQLAlchemy；开发使用 SQLite，部署候选 PostgreSQL，迁移与回滚需分别验证。</w:t>
              <w:br/>
              <w:t>Используется SQLAlchemy; SQLite для разработки, PostgreSQL как кандидат размещения, миграция и откат проверяются отдельно.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内部</w:t>
              <w:br/>
              <w:t>Внутренний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CMP-010</w:t>
              <w:br/>
              <w:t>可信学校核验来源</w:t>
              <w:br/>
              <w:t>Доверенный источник вуза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向管理员及校内审核组件提供经学校确认、可复核的在校身份核验依据。</w:t>
              <w:br/>
              <w:t>Предоставляет администратору и компоненту проверки подтверждённые вузом и проверяемые основания принадлежности студента к вузу.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SP-BR-003, SP-FR-022, SP-IF-002</w:t>
              <w:br/>
              <w:t>US-004</w:t>
              <w:br/>
              <w:t>管理员依据学校确认的渠道人工核验；具体名单或平台仍由 OPEN-003 确认。</w:t>
              <w:br/>
              <w:t>Администратор проверяет вручную по согласованному вузом каналу; конкретный реестр или платформа уточняется в OPEN-003.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外部 待确认来源</w:t>
              <w:br/>
              <w:t>Внешний Источник уточняется</w:t>
            </w:r>
          </w:p>
        </w:tc>
      </w:tr>
    </w:tbl>
    <w:p>
      <w:pPr>
        <w:pStyle w:val="Heading1"/>
      </w:pPr>
      <w:r>
        <w:rPr>
          <w:rFonts w:ascii="Arial" w:hAnsi="Arial" w:cs="Arial" w:eastAsia="PingFang SC"/>
          <w:b/>
          <w:color w:val="000000"/>
          <w:sz w:val="26"/>
        </w:rPr>
        <w:t>3 组件边界与业务规则</w:t>
        <w:br/>
        <w:t>3 Границы и бизнес правила</w:t>
      </w:r>
    </w:p>
    <w:p>
      <w:r>
        <w:rPr>
          <w:rFonts w:ascii="Arial" w:hAnsi="Arial" w:cs="Arial" w:eastAsia="PingFang SC"/>
          <w:b w:val="0"/>
          <w:color w:val="000000"/>
          <w:sz w:val="20"/>
        </w:rPr>
        <w:t>划分边界 内部指由 StudySpace 团队维护的模块，外部指学校提供的可信核验来源；数据库属于内部基础设施，单独运行不改变其归属。</w:t>
        <w:br/>
        <w:t>Граница Внутренние модули ведёт команда StudySpace, внешний источник проверки предоставляет вуз; отдельный процесс БД остаётся внутренней инфраструктурой.</w:t>
      </w:r>
    </w:p>
    <w:p>
      <w:r>
        <w:rPr>
          <w:rFonts w:ascii="Arial" w:hAnsi="Arial" w:cs="Arial" w:eastAsia="PingFang SC"/>
          <w:b w:val="0"/>
          <w:color w:val="000000"/>
          <w:sz w:val="20"/>
        </w:rPr>
        <w:t>内部组件沿用模块化单体，界面调用业务 API；资源模块提供配置，查询结果仅供选择，预约创建时在服务端事务内重新校验，账号或资源变更复用预约取消逻辑。</w:t>
        <w:br/>
        <w:t>Внутренние компоненты образуют модульный монолит, интерфейс вызывает бизнес API; ресурсы дают настройки, поиск служит выбору, создание повторяет проверки в серверной транзакции, изменения аккаунтов и ресурсов используют общую отмену.</w:t>
      </w:r>
    </w:p>
    <w:p>
      <w:r>
        <w:rPr>
          <w:rFonts w:ascii="Arial" w:hAnsi="Arial" w:cs="Arial" w:eastAsia="PingFang SC"/>
          <w:b w:val="0"/>
          <w:color w:val="000000"/>
          <w:sz w:val="20"/>
        </w:rPr>
        <w:t>每条预约只涉及一个座位；同学生或同座位的有效预约按 [start,end) 检查重叠，相邻和多条非重叠预约允许。查询结果仅供选择，提交时必须在服务端重新校验。</w:t>
        <w:br/>
        <w:t>Каждая запись относится к одному месту; пересечения студента или места проверяются по [start,end), соседние и несколько непересекающихся записей допустимы; результат поиска служит выбору, при отправке сервер повторяет проверки.</w:t>
      </w:r>
    </w:p>
    <w:p>
      <w:r>
        <w:rPr>
          <w:rFonts w:ascii="Arial" w:hAnsi="Arial" w:cs="Arial" w:eastAsia="PingFang SC"/>
          <w:b w:val="0"/>
          <w:color w:val="000000"/>
          <w:sz w:val="20"/>
        </w:rPr>
        <w:t>创建、取消、停用账号和关闭资源由同一事务协调；CMP-006 的冲突检查、锁后时刻判定、写入与必要事件记录须原子完成。IF-10 是 CMP-002…CMP-008 的共同存储依赖汇总，不代表新增组件或独立服务。</w:t>
        <w:br/>
        <w:t>Создание, отмена, отключение аккаунта и закрытие ресурса координируются общей транзакцией; проверки CMP-006 после блокировок, запись и необходимые события атомарны; IF-10 обобщает зависимость CMP-002…CMP-008 от хранилища, без нового компонента или отдельного сервиса.</w:t>
      </w:r>
    </w:p>
    <w:p>
      <w:r>
        <w:rPr>
          <w:rFonts w:ascii="Arial" w:hAnsi="Arial" w:cs="Arial" w:eastAsia="PingFang SC"/>
          <w:b w:val="0"/>
          <w:color w:val="000000"/>
          <w:sz w:val="20"/>
        </w:rPr>
        <w:t>CMP-010 是学校控制的外部核验来源，IF-04 虚线表示人工核验依赖；可采用学校认可的名单或系统，真实渠道仍由 OPEN-003 确认，不假定已有自动 API，无可信来源不得批准 VERIFIED。</w:t>
        <w:br/>
        <w:t>CMP-010 — контролируемый вузом внешний источник, пунктир IF-04 означает ручную проверку; допустим признанный вузом список или система, фактический канал уточняется в OPEN-003, готовый API не предполагается, без доверенного источника VERIFIED запрещён.</w:t>
      </w:r>
    </w:p>
    <w:p>
      <w:r>
        <w:rPr>
          <w:rFonts w:ascii="Arial" w:hAnsi="Arial" w:cs="Arial" w:eastAsia="PingFang SC"/>
          <w:b w:val="0"/>
          <w:color w:val="000000"/>
          <w:sz w:val="20"/>
        </w:rPr>
        <w:t>统一候选表覆盖现有 MVP 功能需求 SP-FR-001…026 和 SP-FR-031；提醒、QR 签到、违约和实际使用率 SP-FR-027…030 属于未来范围，三项基础统计不代表真实到场，业务实现及业务测试仍未完成，NOT_RUN。</w:t>
        <w:br/>
        <w:t>Единая таблица покрывает функциональные требования MVP SP-FR-001…026 и SP-FR-031; напоминания, QR-отметка, нарушения и фактическая загрузка SP-FR-027…030 относятся к будущему, базовые показатели не означают присутствие, реализация и бизнес-тесты не завершены, NOT_RUN.</w:t>
      </w:r>
    </w:p>
    <w:p>
      <w:pPr>
        <w:pageBreakBefore/>
        <w:spacing w:line="240" w:lineRule="auto" w:after="40"/>
      </w:pPr>
      <w:r>
        <w:drawing>
          <wp:inline xmlns:a="http://schemas.openxmlformats.org/drawingml/2006/main" xmlns:pic="http://schemas.openxmlformats.org/drawingml/2006/picture">
            <wp:extent cx="9468000" cy="62323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68000" cy="6232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00" w:lineRule="exact"/>
      </w:pPr>
      <w:r>
        <w:rPr>
          <w:rFonts w:ascii="Arial" w:hAnsi="Arial" w:cs="Arial" w:eastAsia="PingFang SC"/>
          <w:b w:val="0"/>
          <w:color w:val="000000"/>
          <w:sz w:val="18"/>
        </w:rPr>
        <w:t>图 1 统一编号的 StudySpace 逻辑组件与连接，沿用已绘制的组件图。</w:t>
        <w:br/>
        <w:t>Рисунок 1 Логические компоненты и связи StudySpace с едиными ID по подготовленной схеме.</w:t>
      </w:r>
    </w:p>
    <w:p>
      <w:pPr>
        <w:pStyle w:val="Heading1"/>
        <w:pageBreakBefore/>
      </w:pPr>
      <w:r>
        <w:rPr>
          <w:rFonts w:ascii="Arial" w:hAnsi="Arial" w:cs="Arial" w:eastAsia="PingFang SC"/>
          <w:b/>
          <w:color w:val="000000"/>
          <w:sz w:val="26"/>
        </w:rPr>
        <w:t>4 连接协议与传递数据</w:t>
        <w:br/>
        <w:t>4 Протоколы и передаваемые данные</w:t>
      </w:r>
    </w:p>
    <w:p>
      <w:r>
        <w:rPr>
          <w:rFonts w:ascii="Arial" w:hAnsi="Arial" w:cs="Arial" w:eastAsia="PingFang SC"/>
          <w:b w:val="0"/>
          <w:color w:val="000000"/>
          <w:sz w:val="20"/>
        </w:rPr>
        <w:t>内部箭头表示同一 FastAPI 模块化单体内的调用或协作，IF-01 为界面访问业务 API 的候选契约；这些设计不表示业务接口已经实现。</w:t>
        <w:br/>
        <w:t>Внутренние стрелки означают вызовы и взаимодействие в одном модульном монолите FastAPI, IF-01 задаёт кандидат контракта интерфейса с бизнес API; проектирование не означает реализованные интерфейсы.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3515"/>
        <w:gridCol w:w="7540"/>
        <w:gridCol w:w="3061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DFE9F2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/>
                <w:color w:val="000000"/>
                <w:sz w:val="19"/>
              </w:rPr>
              <w:t>连接 ID</w:t>
              <w:br/>
              <w:t>ID связи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DFE9F2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/>
                <w:color w:val="000000"/>
                <w:sz w:val="19"/>
              </w:rPr>
              <w:t>调用或协作组件</w:t>
              <w:br/>
              <w:t>Компоненты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DFE9F2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/>
                <w:color w:val="000000"/>
                <w:sz w:val="19"/>
              </w:rPr>
              <w:t>协议与数据</w:t>
              <w:br/>
              <w:t>Протокол и данные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DFE9F2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/>
                <w:color w:val="000000"/>
                <w:sz w:val="19"/>
              </w:rPr>
              <w:t>需求或前提来源</w:t>
              <w:br/>
              <w:t>Требования и условия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IF-01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CMP-001</w:t>
              <w:br/>
              <w:t>→ CMP-002, CMP-003, CMP-004, CMP-005, CMP-006, CMP-007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HTTPS / JSON；请求携带凭据或会话信息及业务输入，响应返回结果、记录或错误；本地开发可用 HTTP。</w:t>
              <w:br/>
              <w:t>HTTPS / JSON: запрос содержит данные входа или сессии и бизнес-поля; ответ возвращает результат, записи или ошибку; локальная разработка допускает HTTP.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SP-IF-001, SP-FR-004, SP-NFR-010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IF-02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CMP-006</w:t>
              <w:br/>
              <w:t>→ CMP-002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进程内同步调用；user_id、角色、账号启停状态，用于服务端授权；不向其他模块传递原始密码。</w:t>
              <w:br/>
              <w:t>Синхронный вызов в процессе: user_id, роль и активность аккаунта для серверной авторизации; исходный пароль другим модулям не передаётся.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SP-FR-004, SP-NFR-003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IF-03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CMP-006, CMP-003</w:t>
              <w:br/>
              <w:t>→ CMP-003, CMP-006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进程内双向协作；预约检查 VERIFIED 和账号状态，资格变更协调取消未结束预约并共享同一事务。</w:t>
              <w:br/>
              <w:t>Взаимодействие в процессе: бронирование проверяет VERIFIED и активность, изменение допуска координирует отмену незавершённых записей в общей транзакции.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SP-FR-020, SP-FR-021, SP-FR-022, SP-NFR-004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IF-04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CMP-003</w:t>
              <w:br/>
              <w:t>→ CMP-010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人工核验依赖；管理员经学校确认渠道复核身份，只在内部记录来源类型、引用及审核决定；不是已存在的自动 API。</w:t>
              <w:br/>
              <w:t>Зависимость ручной проверки: администратор сверяет личность по подтверждённому вузом каналу; внутри сохраняет тип источника, ссылку и решение; готовый автоматический API не предполагается.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SP-IF-002, SP-FR-022, SP-DR-001, OPEN-003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IF-05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CMP-005</w:t>
              <w:br/>
              <w:t>→ CMP-004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进程内同步调用；位置、room_id、seat_id、业务日期与开放窗口；可用性还通过 IF-10 读取有效预约。</w:t>
              <w:br/>
              <w:t>Синхронный вызов в процессе: расположение, room_id, seat_id, деловая дата и часы; доступность также читает действующие записи через IF-10.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SP-FR-005, SP-FR-006, SP-FR-007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IF-06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CMP-006, CMP-004</w:t>
              <w:br/>
              <w:t>→ CMP-004, CMP-006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进程内双向协作；预约读取开放与时间规则，资源关闭传递受影响资源和时段并原子取消相关未结束预约。</w:t>
              <w:br/>
              <w:t>Взаимодействие в процессе: бронирование читает часы и временные правила, закрытие передаёт затронутые ресурсы и интервалы и атомарно отменяет незавершённые записи.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SP-FR-016, SP-FR-017, SP-FR-018, SP-NFR-004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IF-07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CMP-006</w:t>
              <w:br/>
              <w:t>→ CMP-008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进程内同步调用；预约 ID、操作人 ID、event_at、动作及取消原因，在同一事务保存业务事件。</w:t>
              <w:br/>
              <w:t>Синхронный вызов в процессе: ID записи и автора, event_at, действие и причина отмены; бизнес-событие сохраняется в той же транзакции.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SP-FR-011, SP-FR-012, SP-NFR-004, SP-DR-002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IF-08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CMP-003</w:t>
              <w:br/>
              <w:t>→ CMP-008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进程内同步调用；UserID、审核人、状态、event_at 和来源引用，不在审核事件中复制原始身份或证明影像。</w:t>
              <w:br/>
              <w:t>Синхронный вызов в процессе: UserID, автор проверки, статус, event_at и ссылка; исходные идентификационные данные и изображения не копируются в событие проверки.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SP-FR-022, SP-NFR-003, SP-DR-001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IF-09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CMP-007</w:t>
              <w:br/>
              <w:t>→ CMP-009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进程内同步调用；权限范围、过滤条件、业务日期 D 和 as_of，返回本人或授权管理记录及创建、取消、未结束三项计数。</w:t>
              <w:br/>
              <w:t>Синхронный вызов в процессе: права, фильтры, деловая дата D и as_of; возвращаются свои либо разрешённые административные записи и три показателя.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SP-FR-013, SP-FR-019, SP-FR-023, SP-FR-024, SP-FR-025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IF-10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CMP-002, CMP-003, CMP-004, CMP-005, CMP-006, CMP-007, CMP-008</w:t>
              <w:br/>
              <w:t>→ CMP-009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进程内 SQLAlchemy 数据访问与 SQL 事务；保存或读取账号、资源、预约和事件，提供约束与锁；开发 SQLite，部署候选 PostgreSQL。</w:t>
              <w:br/>
              <w:t>Доступ SQLAlchemy в процессе и SQL-транзакции: чтение и сохранение аккаунтов, ресурсов, записей и событий с ограничениями и блокировками; SQLite разработки, PostgreSQL как кандидат размещения.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SP-NFR-004, SP-NFR-005, SP-DR-001, SP-C-005</w:t>
            </w:r>
          </w:p>
        </w:tc>
      </w:tr>
    </w:tbl>
    <w:p>
      <w:pPr>
        <w:pStyle w:val="Heading1"/>
      </w:pPr>
      <w:r>
        <w:rPr>
          <w:rFonts w:ascii="Arial" w:hAnsi="Arial" w:cs="Arial" w:eastAsia="PingFang SC"/>
          <w:b/>
          <w:color w:val="000000"/>
          <w:sz w:val="26"/>
        </w:rPr>
        <w:t>5 课堂要求与一致性自查</w:t>
        <w:br/>
        <w:t>5 Самопроверка задания и согласованности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9468"/>
        <w:gridCol w:w="1701"/>
      </w:tblGrid>
      <w:tr>
        <w:trPr>
          <w:cantSplit/>
          <w:tblHeader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DFE9F2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/>
                <w:color w:val="000000"/>
                <w:sz w:val="19"/>
              </w:rPr>
              <w:t>检查项</w:t>
              <w:br/>
              <w:t>Критерий</w:t>
            </w:r>
          </w:p>
        </w:tc>
        <w:tc>
          <w:tcPr>
            <w:tcW w:type="dxa" w:w="94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DFE9F2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/>
                <w:color w:val="000000"/>
                <w:sz w:val="19"/>
              </w:rPr>
              <w:t>核对依据</w:t>
              <w:br/>
              <w:t>Свидетельство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DFE9F2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/>
                <w:color w:val="000000"/>
                <w:sz w:val="19"/>
              </w:rPr>
              <w:t>状态</w:t>
              <w:br/>
              <w:t>Статус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先画草图 界面在左 外部系统在右</w:t>
              <w:br/>
              <w:t>Черновик интерфейс слева внешняя система справа</w:t>
            </w:r>
          </w:p>
        </w:tc>
        <w:tc>
          <w:tcPr>
            <w:tcW w:type="dxa" w:w="94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保留数字草图；草图和正式图均 CMP-001 在左，CMP-010 在系统边界外右侧。</w:t>
              <w:br/>
              <w:t>Сохранён цифровой черновик; в нём и итоговой схеме CMP-001 слева, CMP-010 справа вне системы.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全部候选组件可追溯</w:t>
              <w:br/>
              <w:t>Все кандидаты трассируются</w:t>
            </w:r>
          </w:p>
        </w:tc>
        <w:tc>
          <w:tcPr>
            <w:tcW w:type="dxa" w:w="94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两份候选表的职责及需求来源已合并，统一表与图保留相同的 10 个 CMP 编号。</w:t>
              <w:br/>
              <w:t>Ответственность и источники обеих таблиц объединены; единая таблица и схема сохраняют одинаковые 10 ID CMP.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系统边界和单体边界清晰</w:t>
              <w:br/>
              <w:t>Границы системы и монолита ясны</w:t>
            </w:r>
          </w:p>
        </w:tc>
        <w:tc>
          <w:tcPr>
            <w:tcW w:type="dxa" w:w="94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9 个内部组件在系统边界内，外部人工核验来源单独标注。</w:t>
              <w:br/>
              <w:t>9 внутренних компонентов находятся в системе, внешний источник отмечен отдельно.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连接协议或数据已标注</w:t>
              <w:br/>
              <w:t>Связи подписаны протоколом или данными</w:t>
            </w:r>
          </w:p>
        </w:tc>
        <w:tc>
          <w:tcPr>
            <w:tcW w:type="dxa" w:w="94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10 个 IF 标注有 HTTPS、JSON、标识、状态、事件或 SQL 数据契约。</w:t>
              <w:br/>
              <w:t>10 IF подписаны HTTPS, JSON, идентификаторами, статусом, событиями либо SQL.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有名称和解释</w:t>
              <w:br/>
              <w:t>Есть название и пояснение</w:t>
            </w:r>
          </w:p>
        </w:tc>
        <w:tc>
          <w:tcPr>
            <w:tcW w:type="dxa" w:w="94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提供名称、图例、连接说明和关键事务说明。</w:t>
              <w:br/>
              <w:t>Добавлены название, легенда, таблица связей и пояснение транзакций.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转入绘图工具并可编辑</w:t>
              <w:br/>
              <w:t>Перенос в инструмент с редактированием</w:t>
            </w:r>
          </w:p>
        </w:tc>
        <w:tc>
          <w:tcPr>
            <w:tcW w:type="dxa" w:w="94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按课件允许的同类工具方案使用 draw.io 29.6.6，.drawio 源文件包含草图和正式图两个页签。</w:t>
              <w:br/>
              <w:t>По разрешённому аналогу используется draw.io 29.6.6; файл .drawio содержит вкладки черновика и итоговой схемы.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预约与数据规则保持一致</w:t>
              <w:br/>
              <w:t>Правила записей и данных согласованы</w:t>
            </w:r>
          </w:p>
        </w:tc>
        <w:tc>
          <w:tcPr>
            <w:tcW w:type="dxa" w:w="94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保持非重叠多预约、服务端事务、人工核验和最少必要数据策略。</w:t>
              <w:br/>
              <w:t>Сохранены несколько непересекающихся записей, серверные транзакции, ручная проверка и минимизация данных.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中俄上下对应</w:t>
              <w:br/>
              <w:t>Китайский и русский попарно</w:t>
            </w:r>
          </w:p>
        </w:tc>
        <w:tc>
          <w:tcPr>
            <w:tcW w:type="dxa" w:w="94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正文及同一单元格均中文在上、俄语在下。</w:t>
              <w:br/>
              <w:t>В тексте и одной ячейке китайский расположен над русским.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教师原检查表逐项比对</w:t>
              <w:br/>
              <w:t>Сверка с исходной таблицей преподавателя</w:t>
            </w:r>
          </w:p>
        </w:tc>
        <w:tc>
          <w:tcPr>
            <w:tcW w:type="dxa" w:w="94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照片未包含该表，未提供其内容；本自查表只依据可见任务和项目规则。</w:t>
              <w:br/>
              <w:t>Таблица отсутствует на фото и не предоставлена; самопроверка основана на видимой задаче и правилах проекта.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PARTIAL</w:t>
            </w:r>
          </w:p>
        </w:tc>
      </w:tr>
    </w:tbl>
    <w:p>
      <w:r>
        <w:rPr>
          <w:rFonts w:ascii="Arial" w:hAnsi="Arial" w:cs="Arial" w:eastAsia="PingFang SC"/>
          <w:b w:val="0"/>
          <w:color w:val="000000"/>
          <w:sz w:val="18"/>
        </w:rPr>
        <w:t>来源为 SS-COMP-01 v1、SS-ARCH-01 v1、SS-ARCH-02 组件图、课堂任务图片、需求登记 v0.2、系统设计 0.3.0、DEC-016 与 OPEN-003；教师原检查表尚未提供，自查不代表教师验收。</w:t>
        <w:br/>
        <w:t>Источники SS-COMP-01 v1, SS-ARCH-01 v1, диаграмма SS-ARCH-02, фото заданий, реестр v0.2, проект 0.3.0, DEC-016 и OPEN-003; исходная таблица преподавателя не предоставлена, самопроверка не означает приёмку.</w:t>
      </w:r>
    </w:p>
    <w:sectPr w:rsidR="00FC693F" w:rsidRPr="0006063C" w:rsidSect="00034616"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0" w:lineRule="exact"/>
    </w:pPr>
    <w:rPr>
      <w:rFonts w:ascii="Arial" w:hAnsi="Arial"/>
      <w:color w:val="000000"/>
      <w:sz w:val="21"/>
      <w:rFonts w:ascii="Arial" w:hAnsi="Arial" w:cs="Arial" w:eastAsia="PingFang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  <w:rFonts w:ascii="Arial" w:hAnsi="Arial" w:cs="Arial" w:eastAsia="PingFang SC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  <w:rFonts w:ascii="Arial" w:hAnsi="Arial" w:cs="Arial" w:eastAsia="PingFang SC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76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  <w:rFonts w:ascii="Arial" w:hAnsi="Arial" w:cs="Arial" w:eastAsia="PingFang SC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80" w:lineRule="exact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  <w:rFonts w:ascii="Arial" w:hAnsi="Arial" w:cs="Arial" w:eastAsia="PingFang SC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StudySpace 组件候选与组件图 Кандидаты и диаграмма компонентов</dc:title>
  <dc:subject>组件候选与组件图统一设计 中俄上下对照</dc:subject>
  <dc:creator>StudySpace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