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eastAsia="PingFang SC"/>
          <w:b w:val="0"/>
          <w:color w:val="000000"/>
          <w:sz w:val="36"/>
          <w:lang w:val="zh-CN" w:eastAsia="zh-CN"/>
        </w:rPr>
        <w:t>StudySpace 环境与防护表</w:t>
      </w:r>
    </w:p>
    <w:p>
      <w:pPr>
        <w:pStyle w:val="Title"/>
        <w:keepLines/>
      </w:pPr>
      <w:r>
        <w:rPr>
          <w:rFonts w:ascii="Arial" w:hAnsi="Arial" w:eastAsia="PingFang SC"/>
          <w:b w:val="0"/>
          <w:color w:val="000000"/>
          <w:sz w:val="36"/>
          <w:lang w:val="ru-RU" w:eastAsia="zh-CN"/>
        </w:rPr>
        <w:t>StudySpace Среды и защита</w:t>
      </w:r>
    </w:p>
    <w:p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任务 1б / Задание 1б  |  SS-ENV-T1B-01  |  v1  |  2026-10-15  |  DRAFT</w:t>
      </w:r>
    </w:p>
    <w:p>
      <w:pPr>
        <w:keepNext/>
      </w:pPr>
      <w:r>
        <w:rPr>
          <w:rFonts w:ascii="Arial" w:hAnsi="Arial" w:eastAsia="PingFang SC"/>
          <w:b w:val="0"/>
          <w:color w:val="000000"/>
          <w:sz w:val="21"/>
          <w:lang w:val="zh-CN" w:eastAsia="zh-CN"/>
        </w:rPr>
        <w:t>本表对应任务 1б，比较 StudySpace 开发、测试和生产环境。现有开发配置与隔离测试代码已经建立；生产为目标方案，部署、备份恢复及告警按实施状态标注。</w:t>
      </w:r>
    </w:p>
    <w:p>
      <w:pPr>
        <w:keepLines/>
      </w:pPr>
      <w:r>
        <w:rPr>
          <w:rFonts w:ascii="Arial" w:hAnsi="Arial" w:eastAsia="PingFang SC"/>
          <w:b w:val="0"/>
          <w:color w:val="000000"/>
          <w:sz w:val="21"/>
          <w:lang w:val="ru-RU" w:eastAsia="zh-CN"/>
        </w:rPr>
        <w:t>Таблица задания 1б сравнивает разработку, тест и продакшен StudySpace. Конфигурация разработки и код изолированных тестов имеются; продакшен остаётся целевой схемой, размещение, восстановление и оповещения отмечены по состоянию реализации.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1872"/>
        <w:gridCol w:w="2232"/>
        <w:gridCol w:w="2362"/>
        <w:gridCol w:w="2606"/>
      </w:tblGrid>
      <w:tr>
        <w:trPr>
          <w:tblHeader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环境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Среда</w:t>
            </w:r>
          </w:p>
        </w:tc>
        <w:tc>
          <w:tcPr>
            <w:tcW w:type="dxa" w:w="187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用途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Назначение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与生产环境的差异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Отличия от продакшена</w:t>
            </w:r>
          </w:p>
        </w:tc>
        <w:tc>
          <w:tcPr>
            <w:tcW w:type="dxa" w:w="236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访问权限与敏感凭据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Доступ и секреты</w:t>
            </w:r>
          </w:p>
        </w:tc>
        <w:tc>
          <w:tcPr>
            <w:tcW w:type="dxa" w:w="260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备份与监控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Резервное копирование и мониторинг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开发</w:t>
              <w:br/>
              <w:t>development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Разработка</w:t>
            </w:r>
          </w:p>
        </w:tc>
        <w:tc>
          <w:tcPr>
            <w:tcW w:type="dxa" w:w="187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编写和调试前后端，运行骨架功能。业务功能仍待实现。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Разработка и отладка клиента и сервера, запуск каркаса. Бизнес-функции ещё предстоят.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SQLite 与本地 HTTP；Vite 热更新，端口 5173，API 8000。本地 Compose 候选入口为</w:t>
              <w:br/>
              <w:t>8080，未配置生产 HTTPS。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SQLite и локальный HTTP; Vite с обновлением, порт 5173, API 8000. Локальный вариант Compose использует вход 8080 без производственного HTTPS.</w:t>
            </w:r>
          </w:p>
        </w:tc>
        <w:tc>
          <w:tcPr>
            <w:tcW w:type="dxa" w:w="236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本机开发者访问，服务绑定 127.0.0.1；本地 .env 不入 Git。生产凭据不用于开发；VITE_* 不存密钥。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Доступ разработчика на своём ПК; сервисы привязаны к 127.0.0.1. Файл .env вне Git; производственные секреты не используются, ключи не помещаются в VITE_*.</w:t>
            </w:r>
          </w:p>
        </w:tc>
        <w:tc>
          <w:tcPr>
            <w:tcW w:type="dxa" w:w="260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建议按需保存或重建开发样例数据；日志及现有健康、就绪接口用于排障。自动备份和告警尚未配置。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Предлагается сохранять или пересоздавать учебные данные по необходимости. Журналы и имеющиеся health/ready служат диагностике. Автоматические копии и оповещения не настроены.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测试</w:t>
              <w:br/>
              <w:t>test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Тест</w:t>
            </w:r>
          </w:p>
        </w:tc>
        <w:tc>
          <w:tcPr>
            <w:tcW w:type="dxa" w:w="187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用 pytest、Vitest 验证骨架；计划验证权限、预约冲突、迁移及恢复。业务用例仍为 NOT_RUN。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pytest и Vitest проверяют каркас; планируются проверки прав, конфликтов брони, миграции и восстановления. Бизнес-кейсы остаются NOT_RUN.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当前测试夹具使用临时</w:t>
              <w:br/>
              <w:t>SQLite 和隔离配置；计划使用合成数据。PostgreSQL 集成、并发验证及独立测试部署待实施。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Текущие фикстуры используют временную SQLite и изолированные настройки; планируются синтетические данные. Интеграция и конкуренция PostgreSQL и отдельное тестовое размещение ещё предстоят.</w:t>
            </w:r>
          </w:p>
        </w:tc>
        <w:tc>
          <w:tcPr>
            <w:tcW w:type="dxa" w:w="236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当前夹具不读取项目 .env，并清除相关环境变量。独立测试环境拟仅向团队开放，使用独立测试凭据，不复制生产密码或学生证明影像。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Фикстуры не читают .env проекта и очищают связанные переменные. Отдельная среда планируется только для команды со своими секретами, без производственных паролей и изображений документов студентов.</w:t>
            </w:r>
          </w:p>
        </w:tc>
        <w:tc>
          <w:tcPr>
            <w:tcW w:type="dxa" w:w="260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临时测试库可重建；计划保存脱敏测试报告。已有 health/ready 和失败返回测试；PostgreSQL 备份恢复与告警验证待实施。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Временная БД пересоздаётся; планируется сохранять обезличенные отчёты. Есть тесты health/ready и ответа при сбое; восстановление PostgreSQL и оповещения ещё предстоит проверить.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生产</w:t>
              <w:br/>
              <w:t>production</w:t>
              <w:br/>
              <w:t>目标方案</w:t>
            </w:r>
          </w:p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Продакшен</w:t>
              <w:br/>
              <w:t>Целевая схема</w:t>
            </w:r>
          </w:p>
        </w:tc>
        <w:tc>
          <w:tcPr>
            <w:tcW w:type="dxa" w:w="187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正式为学生和管理员提供预约服务。目标 APP_ENV 为 production；尚未部署。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Рабочий сервис бронирования для студентов и администраторов. Целевой APP_ENV — production; размещение ещё не выполнено.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本列比较的基准。目标采用 Docker Compose、Caddy HTTPS、Nginx 静态前端、FastAPI 和内网 PostgreSQL，使用持久数据卷；配置待实施。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База сравнения. Цель: Docker Compose, HTTPS Caddy, статика Nginx, FastAPI и PostgreSQL во внутренней сети с постоянными томами; конфигурация ещё предстоит.</w:t>
            </w:r>
          </w:p>
        </w:tc>
        <w:tc>
          <w:tcPr>
            <w:tcW w:type="dxa" w:w="2362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计划按最小权限控制：学生仅见本人数据，管理员按职责授权；主机运维访问受限，数据库不公开。生产密钥独立，通过环境变量注入，不入 Git 或前端。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Планируются минимальные права: студент видит своё, администратор действует по роли; доступ к хосту ограничен, БД не публична. Секреты отдельные, через переменные среды, вне Git и клиента.</w:t>
            </w:r>
          </w:p>
        </w:tc>
        <w:tc>
          <w:tcPr>
            <w:tcW w:type="dxa" w:w="260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已选策略待实施：每日备份，保留最近 7 份；恢复后先到期清理再开放。计划监控 HTTPS、健康/就绪、数据库、磁盘和备份失败，配置告警并演练恢复。</w:t>
            </w:r>
          </w:p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Выбрано, ещё не реализовано: ежедневные копии, последние 7; после восстановления сначала очистка по срокам. Планируются контроль HTTPS, health/ready, БД, диска и сбоев копирования, оповещения и тренировка восстановления.</w:t>
            </w:r>
          </w:p>
        </w:tc>
      </w:tr>
    </w:tbl>
    <w:p>
      <w:pPr>
        <w:pStyle w:val="Heading1"/>
        <w:keepNext/>
      </w:pPr>
      <w:r>
        <w:rPr>
          <w:rFonts w:ascii="Arial" w:hAnsi="Arial" w:eastAsia="PingFang SC"/>
          <w:b w:val="0"/>
          <w:color w:val="000000"/>
          <w:sz w:val="24"/>
          <w:lang w:val="zh-CN" w:eastAsia="zh-CN"/>
        </w:rPr>
        <w:t>状态说明</w:t>
      </w:r>
    </w:p>
    <w:p>
      <w:pPr>
        <w:pStyle w:val="Heading1"/>
        <w:keepLines/>
      </w:pPr>
      <w:r>
        <w:rPr>
          <w:rFonts w:ascii="Arial" w:hAnsi="Arial" w:eastAsia="PingFang SC"/>
          <w:b w:val="0"/>
          <w:color w:val="000000"/>
          <w:sz w:val="24"/>
          <w:lang w:val="ru-RU" w:eastAsia="zh-CN"/>
        </w:rPr>
        <w:t>Пояснение статусов</w:t>
      </w:r>
    </w:p>
    <w:p>
      <w:pPr>
        <w:keepNext/>
      </w:pPr>
      <w:r>
        <w:rPr>
          <w:rFonts w:ascii="Arial" w:hAnsi="Arial" w:eastAsia="PingFang SC"/>
          <w:b w:val="0"/>
          <w:color w:val="000000"/>
          <w:sz w:val="21"/>
          <w:lang w:val="zh-CN" w:eastAsia="zh-CN"/>
        </w:rPr>
        <w:t>当前 compose.yaml 仍是 development 本地 HTTP 候选，未包含 Caddy 或 PostgreSQL；独立测试部署和生产部署待实施，生产机位与域名由 OPEN-010 确认。表内“计划”“建议”是方案，不表示配置已生效。</w:t>
      </w:r>
    </w:p>
    <w:p>
      <w:pPr>
        <w:keepLines/>
      </w:pPr>
      <w:r>
        <w:rPr>
          <w:rFonts w:ascii="Arial" w:hAnsi="Arial" w:eastAsia="PingFang SC"/>
          <w:b w:val="0"/>
          <w:color w:val="000000"/>
          <w:sz w:val="21"/>
          <w:lang w:val="ru-RU" w:eastAsia="zh-CN"/>
        </w:rPr>
        <w:t>Текущий compose.yaml — локальный вариант development с HTTP без Caddy и PostgreSQL. Отдельные тестовое и производственное размещения ещё предстоят; хост и домен определяются в OPEN-010. «Планируется» и «предлагается» обозначают схему, а не действующую настройку.</w:t>
      </w:r>
    </w:p>
    <w:p>
      <w:pPr>
        <w:pStyle w:val="Heading1"/>
        <w:keepNext/>
      </w:pPr>
      <w:r>
        <w:rPr>
          <w:rFonts w:ascii="Arial" w:hAnsi="Arial" w:eastAsia="PingFang SC"/>
          <w:b w:val="0"/>
          <w:color w:val="000000"/>
          <w:sz w:val="24"/>
          <w:lang w:val="zh-CN" w:eastAsia="zh-CN"/>
        </w:rPr>
        <w:t>健康检查边界</w:t>
      </w:r>
    </w:p>
    <w:p>
      <w:pPr>
        <w:pStyle w:val="Heading1"/>
        <w:keepLines/>
      </w:pPr>
      <w:r>
        <w:rPr>
          <w:rFonts w:ascii="Arial" w:hAnsi="Arial" w:eastAsia="PingFang SC"/>
          <w:b w:val="0"/>
          <w:color w:val="000000"/>
          <w:sz w:val="24"/>
          <w:lang w:val="ru-RU" w:eastAsia="zh-CN"/>
        </w:rPr>
        <w:t>Границы проверок состояния</w:t>
      </w:r>
    </w:p>
    <w:p>
      <w:pPr>
        <w:keepNext/>
      </w:pPr>
      <w:r>
        <w:rPr>
          <w:rFonts w:ascii="Arial" w:hAnsi="Arial" w:eastAsia="PingFang SC"/>
          <w:b w:val="0"/>
          <w:color w:val="000000"/>
          <w:sz w:val="21"/>
          <w:lang w:val="zh-CN" w:eastAsia="zh-CN"/>
        </w:rPr>
        <w:t>/api/v1/health 仅检查进程，/api/v1/ready 仅检查数据库连接；Compose 已声明就绪检查，但不等于容器运行验证或业务验收。认证、预约等业务尚未实现，业务用例保持 NOT_RUN。</w:t>
      </w:r>
    </w:p>
    <w:p>
      <w:pPr>
        <w:keepLines/>
      </w:pPr>
      <w:r>
        <w:rPr>
          <w:rFonts w:ascii="Arial" w:hAnsi="Arial" w:eastAsia="PingFang SC"/>
          <w:b w:val="0"/>
          <w:color w:val="000000"/>
          <w:sz w:val="21"/>
          <w:lang w:val="ru-RU" w:eastAsia="zh-CN"/>
        </w:rPr>
        <w:t>/api/v1/health проверяет процесс, /api/v1/ready — соединение с БД. Проверка готовности объявлена в Compose, но это не подтверждает запуск контейнеров или бизнес-приёмку. Аутентификация, бронь и другие бизнес-функции ещё не реализованы; кейсы остаются NOT_RUN.</w:t>
      </w:r>
    </w:p>
    <w:p>
      <w:pPr>
        <w:pStyle w:val="Heading1"/>
        <w:keepNext/>
      </w:pPr>
      <w:r>
        <w:rPr>
          <w:rFonts w:ascii="Arial" w:hAnsi="Arial" w:eastAsia="PingFang SC"/>
          <w:b w:val="0"/>
          <w:color w:val="000000"/>
          <w:sz w:val="24"/>
          <w:lang w:val="zh-CN" w:eastAsia="zh-CN"/>
        </w:rPr>
        <w:t>项目依据</w:t>
      </w:r>
    </w:p>
    <w:p>
      <w:pPr>
        <w:pStyle w:val="Heading1"/>
        <w:keepLines/>
      </w:pPr>
      <w:r>
        <w:rPr>
          <w:rFonts w:ascii="Arial" w:hAnsi="Arial" w:eastAsia="PingFang SC"/>
          <w:b w:val="0"/>
          <w:color w:val="000000"/>
          <w:sz w:val="24"/>
          <w:lang w:val="ru-RU" w:eastAsia="zh-CN"/>
        </w:rPr>
        <w:t>Источники проекта</w:t>
      </w:r>
    </w:p>
    <w:p>
      <w:pPr>
        <w:keepNext/>
      </w:pPr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系统设计 DOC-04、测试计划 DOC-05、部署决定 ADR-0004 与 docs/data/project-decisions.json。</w:t>
      </w:r>
    </w:p>
    <w:p>
      <w:pPr>
        <w:keepLines/>
      </w:pPr>
      <w:r>
        <w:rPr>
          <w:rFonts w:ascii="Arial" w:hAnsi="Arial" w:eastAsia="PingFang SC"/>
          <w:b w:val="0"/>
          <w:color w:val="000000"/>
          <w:sz w:val="18"/>
          <w:lang w:val="ru-RU" w:eastAsia="zh-CN"/>
        </w:rPr>
        <w:t>Проект DOC-04, план тестирования DOC-05, решение ADR-0004 и docs/data/project-decisions.json.</w:t>
      </w:r>
    </w:p>
    <w:p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配置与代码 / Конфигурации и код</w:t>
        <w:br/>
        <w:t>compose.yaml; .env.example; .gitignore; backend/tests/conftest.py;</w:t>
        <w:br/>
        <w:t>backend/app/main.py; scripts/check.sh.</w:t>
      </w:r>
    </w:p>
    <w:p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项目目录 / Каталог проекта</w:t>
        <w:br/>
        <w:t>/Users/zhi/Documents/软件生命周期/studyspace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Arial" w:hAnsi="Arial" w:cs="Arial" w:eastAsia="PingFang SC"/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Arial" w:hAnsi="Arial" w:cs="Arial" w:eastAsia="PingFang SC"/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PingFang SC"/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cs="Arial" w:eastAsia="PingFang SC"/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环境与防护表 Среды и защита</dc:title>
  <dc:subject>任务 1б / Задание 1б</dc:subject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