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6F1F2">
      <w:pPr>
        <w:spacing w:after="20"/>
        <w:jc w:val="center"/>
      </w:pPr>
      <w:r>
        <w:rPr>
          <w:rFonts w:ascii="Arial" w:hAnsi="Arial" w:eastAsia="Heiti SC"/>
          <w:b/>
          <w:color w:val="124353"/>
          <w:sz w:val="30"/>
        </w:rPr>
        <w:t>任务一：端点列表</w:t>
      </w:r>
    </w:p>
    <w:p w14:paraId="70EFF5AA">
      <w:pPr>
        <w:spacing w:after="80"/>
        <w:jc w:val="center"/>
      </w:pPr>
      <w:r>
        <w:rPr>
          <w:rFonts w:ascii="Arial" w:hAnsi="Arial" w:eastAsia="Heiti SC"/>
          <w:b/>
          <w:color w:val="124353"/>
          <w:sz w:val="24"/>
        </w:rPr>
        <w:t>Задание 1: список конечных точек</w:t>
      </w:r>
    </w:p>
    <w:p w14:paraId="4269469C">
      <w:pPr>
        <w:spacing w:after="120"/>
        <w:jc w:val="center"/>
      </w:pPr>
      <w:r>
        <w:rPr>
          <w:rFonts w:ascii="Arial" w:hAnsi="Arial" w:eastAsia="Heiti SC"/>
          <w:b w:val="0"/>
          <w:color w:val="555F68"/>
          <w:sz w:val="16"/>
        </w:rPr>
        <w:t>SS-API-01  ·  v1  ·  2026-10-16  ·  DRAFT</w:t>
      </w:r>
    </w:p>
    <w:p w14:paraId="1A20E44D">
      <w:pPr>
        <w:spacing w:after="20"/>
      </w:pPr>
      <w:r>
        <w:rPr>
          <w:rFonts w:ascii="Arial" w:hAnsi="Arial" w:eastAsia="Heiti SC"/>
          <w:b w:val="0"/>
          <w:sz w:val="17"/>
        </w:rPr>
        <w:t>依据 StudySpace 的 US-002 与 US-004 时序图，列出界面向后端发出的业务 HTTP 请求。表中“角色”指请求的使用者角色；方法、路径和响应码是拟定设计契约。</w:t>
      </w:r>
    </w:p>
    <w:p w14:paraId="68F5828B">
      <w:pPr>
        <w:spacing w:after="120"/>
      </w:pPr>
      <w:r>
        <w:rPr>
          <w:rFonts w:ascii="Arial" w:hAnsi="Arial" w:eastAsia="Heiti SC"/>
          <w:b w:val="0"/>
          <w:sz w:val="17"/>
        </w:rPr>
        <w:t>По диаграммам последовательности StudySpace для US-002 и US-004 перечислены бизнес-запросы HTTP от интерфейса к серверу. «Роль» означает роль пользователя; методы, пути и коды ответов являются проектируемым контрактом.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2592"/>
        <w:gridCol w:w="3384"/>
        <w:gridCol w:w="2088"/>
        <w:gridCol w:w="4032"/>
      </w:tblGrid>
      <w:tr w14:paraId="0D90183B">
        <w:trPr>
          <w:cantSplit/>
          <w:tblHeader/>
          <w:jc w:val="center"/>
        </w:trPr>
        <w:tc>
          <w:tcPr>
            <w:tcW w:w="3240" w:type="dxa"/>
            <w:shd w:val="clear" w:color="auto" w:fill="DCEEF0"/>
            <w:vAlign w:val="center"/>
          </w:tcPr>
          <w:p w14:paraId="5E63626B"/>
          <w:p w14:paraId="34AD20DF">
            <w:pPr>
              <w:spacing w:after="20" w:line="247" w:lineRule="auto"/>
            </w:pPr>
            <w:r>
              <w:rPr>
                <w:rFonts w:ascii="Arial" w:hAnsi="Arial" w:eastAsia="Heiti SC"/>
                <w:b/>
                <w:sz w:val="17"/>
              </w:rPr>
              <w:t>消息（来自时序图）</w:t>
            </w:r>
          </w:p>
          <w:p w14:paraId="3C96B9CA">
            <w:pPr>
              <w:spacing w:after="0" w:line="247" w:lineRule="auto"/>
            </w:pPr>
            <w:r>
              <w:rPr>
                <w:rFonts w:ascii="Arial" w:hAnsi="Arial" w:eastAsia="Heiti SC"/>
                <w:b/>
                <w:sz w:val="17"/>
              </w:rPr>
              <w:t>Сообщение (из диаграммы последовательности)</w:t>
            </w:r>
          </w:p>
        </w:tc>
        <w:tc>
          <w:tcPr>
            <w:tcW w:w="2592" w:type="dxa"/>
            <w:shd w:val="clear" w:color="auto" w:fill="DCEEF0"/>
            <w:vAlign w:val="center"/>
          </w:tcPr>
          <w:p w14:paraId="40D60015"/>
          <w:p w14:paraId="1AE0C806">
            <w:pPr>
              <w:spacing w:after="20" w:line="247" w:lineRule="auto"/>
            </w:pPr>
            <w:r>
              <w:rPr>
                <w:rFonts w:ascii="Arial" w:hAnsi="Arial" w:eastAsia="Heiti SC"/>
                <w:b/>
                <w:sz w:val="17"/>
              </w:rPr>
              <w:t>方法和路径</w:t>
            </w:r>
          </w:p>
          <w:p w14:paraId="4CCEED17">
            <w:pPr>
              <w:spacing w:after="0" w:line="247" w:lineRule="auto"/>
            </w:pPr>
            <w:r>
              <w:rPr>
                <w:rFonts w:ascii="Arial" w:hAnsi="Arial" w:eastAsia="Heiti SC"/>
                <w:b/>
                <w:sz w:val="17"/>
              </w:rPr>
              <w:t>Метод и путь</w:t>
            </w:r>
          </w:p>
        </w:tc>
        <w:tc>
          <w:tcPr>
            <w:tcW w:w="3384" w:type="dxa"/>
            <w:shd w:val="clear" w:color="auto" w:fill="DCEEF0"/>
            <w:vAlign w:val="center"/>
          </w:tcPr>
          <w:p w14:paraId="3CAFFD91"/>
          <w:p w14:paraId="7AA0F514">
            <w:pPr>
              <w:spacing w:after="20" w:line="247" w:lineRule="auto"/>
            </w:pPr>
            <w:r>
              <w:rPr>
                <w:rFonts w:ascii="Arial" w:hAnsi="Arial" w:eastAsia="Heiti SC"/>
                <w:b/>
                <w:sz w:val="17"/>
              </w:rPr>
              <w:t>需求和用户故事</w:t>
            </w:r>
          </w:p>
          <w:p w14:paraId="6496DDE4">
            <w:pPr>
              <w:spacing w:after="0" w:line="247" w:lineRule="auto"/>
            </w:pPr>
            <w:r>
              <w:rPr>
                <w:rFonts w:ascii="Arial" w:hAnsi="Arial" w:eastAsia="Heiti SC"/>
                <w:b/>
                <w:sz w:val="17"/>
              </w:rPr>
              <w:t>Требование и история</w:t>
            </w:r>
          </w:p>
        </w:tc>
        <w:tc>
          <w:tcPr>
            <w:tcW w:w="2088" w:type="dxa"/>
            <w:shd w:val="clear" w:color="auto" w:fill="DCEEF0"/>
            <w:vAlign w:val="center"/>
          </w:tcPr>
          <w:p w14:paraId="7B52D0BA"/>
          <w:p w14:paraId="6F8E23F5">
            <w:pPr>
              <w:spacing w:after="20" w:line="247" w:lineRule="auto"/>
            </w:pPr>
            <w:r>
              <w:rPr>
                <w:rFonts w:ascii="Arial" w:hAnsi="Arial" w:eastAsia="Heiti SC"/>
                <w:b/>
                <w:sz w:val="17"/>
              </w:rPr>
              <w:t>角色</w:t>
            </w:r>
          </w:p>
          <w:p w14:paraId="13169B33">
            <w:pPr>
              <w:spacing w:after="0" w:line="247" w:lineRule="auto"/>
            </w:pPr>
            <w:r>
              <w:rPr>
                <w:rFonts w:ascii="Arial" w:hAnsi="Arial" w:eastAsia="Heiti SC"/>
                <w:b/>
                <w:sz w:val="17"/>
              </w:rPr>
              <w:t>Роль</w:t>
            </w:r>
          </w:p>
        </w:tc>
        <w:tc>
          <w:tcPr>
            <w:tcW w:w="4032" w:type="dxa"/>
            <w:shd w:val="clear" w:color="auto" w:fill="DCEEF0"/>
            <w:vAlign w:val="center"/>
          </w:tcPr>
          <w:p w14:paraId="26762C2D"/>
          <w:p w14:paraId="1B1D101D">
            <w:pPr>
              <w:spacing w:after="20" w:line="247" w:lineRule="auto"/>
            </w:pPr>
            <w:r>
              <w:rPr>
                <w:rFonts w:ascii="Arial" w:hAnsi="Arial" w:eastAsia="Heiti SC"/>
                <w:b/>
                <w:sz w:val="17"/>
              </w:rPr>
              <w:t>为什么选择</w:t>
            </w:r>
          </w:p>
          <w:p w14:paraId="3174F9E5">
            <w:pPr>
              <w:spacing w:after="0" w:line="247" w:lineRule="auto"/>
            </w:pPr>
            <w:r>
              <w:rPr>
                <w:rFonts w:ascii="Arial" w:hAnsi="Arial" w:eastAsia="Heiti SC"/>
                <w:b/>
                <w:sz w:val="17"/>
              </w:rPr>
              <w:t>Почему выбрана</w:t>
            </w:r>
          </w:p>
        </w:tc>
      </w:tr>
      <w:tr w14:paraId="308918AB">
        <w:trPr>
          <w:cantSplit/>
          <w:jc w:val="center"/>
        </w:trPr>
        <w:tc>
          <w:tcPr>
            <w:tcW w:w="3240" w:type="dxa"/>
            <w:vAlign w:val="center"/>
          </w:tcPr>
          <w:p w14:paraId="72336FA7"/>
          <w:p w14:paraId="399BF902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US-002，精简图消息 2：提交单座位预约</w:t>
            </w:r>
          </w:p>
          <w:p w14:paraId="5F79C373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US-002, сообщение 2 краткой схемы: отправить заявку на одно место</w:t>
            </w:r>
          </w:p>
        </w:tc>
        <w:tc>
          <w:tcPr>
            <w:tcW w:w="2592" w:type="dxa"/>
            <w:vAlign w:val="center"/>
          </w:tcPr>
          <w:p w14:paraId="7E5DD8AC"/>
          <w:p w14:paraId="58E5D272">
            <w:pPr>
              <w:spacing w:after="0"/>
            </w:pPr>
            <w:r>
              <w:rPr>
                <w:rFonts w:ascii="Arial" w:hAnsi="Arial" w:eastAsia="Heiti SC"/>
                <w:b/>
                <w:color w:val="15485D"/>
                <w:sz w:val="18"/>
              </w:rPr>
              <w:t>POST /api/v1/bookings</w:t>
            </w:r>
          </w:p>
        </w:tc>
        <w:tc>
          <w:tcPr>
            <w:tcW w:w="3384" w:type="dxa"/>
            <w:vAlign w:val="center"/>
          </w:tcPr>
          <w:p w14:paraId="6C127B7A"/>
          <w:p w14:paraId="6FFD3360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US-002；SP-FR-007、SP-FR-008、SP-FR-009、SP-NFR-004；DEC-016</w:t>
            </w:r>
          </w:p>
          <w:p w14:paraId="4EEF43C8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US-002; SP-FR-007, SP-FR-008, SP-FR-009, SP-NFR-004; DEC-016</w:t>
            </w:r>
          </w:p>
        </w:tc>
        <w:tc>
          <w:tcPr>
            <w:tcW w:w="2088" w:type="dxa"/>
            <w:vAlign w:val="center"/>
          </w:tcPr>
          <w:p w14:paraId="45FE41EA"/>
          <w:p w14:paraId="1577AE63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已登录、启用且已核验的学生</w:t>
            </w:r>
          </w:p>
          <w:p w14:paraId="6E6C74C1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Авторизованный активный подтверждённый студент</w:t>
            </w:r>
          </w:p>
        </w:tc>
        <w:tc>
          <w:tcPr>
            <w:tcW w:w="4032" w:type="dxa"/>
            <w:vAlign w:val="center"/>
          </w:tcPr>
          <w:p w14:paraId="5600EF9B"/>
          <w:p w14:paraId="6B99E08F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将座位与时段提交给服务端，在同一事务中复核资格、时间和重叠；成功提交后返回 201 与 booking_id。</w:t>
            </w:r>
          </w:p>
          <w:p w14:paraId="766087FF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Передаёт место и интервал; сервер проверяет допуск, время и пересечения в одной транзакции. После фиксации возвращает 201 и booking_id.</w:t>
            </w:r>
          </w:p>
        </w:tc>
      </w:tr>
      <w:tr w14:paraId="79E7C08D">
        <w:trPr>
          <w:cantSplit/>
          <w:jc w:val="center"/>
        </w:trPr>
        <w:tc>
          <w:tcPr>
            <w:tcW w:w="3240" w:type="dxa"/>
            <w:shd w:val="clear" w:color="auto" w:fill="F5F8F9"/>
            <w:vAlign w:val="center"/>
          </w:tcPr>
          <w:p w14:paraId="4FE86B8B"/>
          <w:p w14:paraId="69044407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US-004，详细图消息 2：读取待审核身份与 revision；精简图的前置步骤</w:t>
            </w:r>
          </w:p>
          <w:p w14:paraId="60D74012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US-004, сообщение 2 подробной схемы: получить данные и revision; предварительный шаг краткой схемы</w:t>
            </w:r>
          </w:p>
        </w:tc>
        <w:tc>
          <w:tcPr>
            <w:tcW w:w="2592" w:type="dxa"/>
            <w:shd w:val="clear" w:color="auto" w:fill="F5F8F9"/>
            <w:vAlign w:val="center"/>
          </w:tcPr>
          <w:p w14:paraId="4F247F14"/>
          <w:p w14:paraId="2716DF2B">
            <w:pPr>
              <w:spacing w:after="0"/>
            </w:pPr>
            <w:r>
              <w:rPr>
                <w:rFonts w:ascii="Arial" w:hAnsi="Arial" w:eastAsia="Heiti SC"/>
                <w:b/>
                <w:color w:val="15485D"/>
                <w:sz w:val="18"/>
              </w:rPr>
              <w:t>GET /api/v1/identity-reviews/pending</w:t>
            </w:r>
          </w:p>
        </w:tc>
        <w:tc>
          <w:tcPr>
            <w:tcW w:w="3384" w:type="dxa"/>
            <w:shd w:val="clear" w:color="auto" w:fill="F5F8F9"/>
            <w:vAlign w:val="center"/>
          </w:tcPr>
          <w:p w14:paraId="0BE79C9F"/>
          <w:p w14:paraId="4B8A5271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US-004；SP-FR-004、SP-FR-022、SP-DR-001</w:t>
            </w:r>
          </w:p>
          <w:p w14:paraId="6ED25E21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US-004; SP-FR-004, SP-FR-022, SP-DR-001</w:t>
            </w:r>
          </w:p>
        </w:tc>
        <w:tc>
          <w:tcPr>
            <w:tcW w:w="2088" w:type="dxa"/>
            <w:shd w:val="clear" w:color="auto" w:fill="F5F8F9"/>
            <w:vAlign w:val="center"/>
          </w:tcPr>
          <w:p w14:paraId="1C308BE5"/>
          <w:p w14:paraId="213BB3F9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有审核权限的管理员</w:t>
            </w:r>
          </w:p>
          <w:p w14:paraId="500762F4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Администратор с правом проверки</w:t>
            </w:r>
          </w:p>
        </w:tc>
        <w:tc>
          <w:tcPr>
            <w:tcW w:w="4032" w:type="dxa"/>
            <w:shd w:val="clear" w:color="auto" w:fill="F5F8F9"/>
            <w:vAlign w:val="center"/>
          </w:tcPr>
          <w:p w14:paraId="050D5389"/>
          <w:p w14:paraId="154BB3BF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供管理员读取最少必要的待审信息和快照版本；提交决定时可检查资料是否已变化。</w:t>
            </w:r>
          </w:p>
          <w:p w14:paraId="288D7659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Даёт минимум данных и версию снимка; при сохранении решения сервер проверит, не изменились ли сведения.</w:t>
            </w:r>
          </w:p>
        </w:tc>
      </w:tr>
      <w:tr w14:paraId="2D615995">
        <w:trPr>
          <w:cantSplit/>
          <w:jc w:val="center"/>
        </w:trPr>
        <w:tc>
          <w:tcPr>
            <w:tcW w:w="3240" w:type="dxa"/>
            <w:vAlign w:val="center"/>
          </w:tcPr>
          <w:p w14:paraId="745142A2"/>
          <w:p w14:paraId="2A77E004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US-004，精简图消息 4（详细图消息 12）：保存人工审核决定</w:t>
            </w:r>
          </w:p>
          <w:p w14:paraId="44F97D38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US-004, сообщение 4 краткой схемы (12 подробной): сохранить решение ручной проверки</w:t>
            </w:r>
          </w:p>
        </w:tc>
        <w:tc>
          <w:tcPr>
            <w:tcW w:w="2592" w:type="dxa"/>
            <w:vAlign w:val="center"/>
          </w:tcPr>
          <w:p w14:paraId="03414F99"/>
          <w:p w14:paraId="7A0C4A8E">
            <w:pPr>
              <w:spacing w:after="0"/>
            </w:pPr>
            <w:r>
              <w:rPr>
                <w:rFonts w:ascii="Arial" w:hAnsi="Arial" w:eastAsia="Heiti SC"/>
                <w:b/>
                <w:color w:val="15485D"/>
                <w:sz w:val="18"/>
              </w:rPr>
              <w:t>POST /api/v1/identity-reviews</w:t>
            </w:r>
          </w:p>
        </w:tc>
        <w:tc>
          <w:tcPr>
            <w:tcW w:w="3384" w:type="dxa"/>
            <w:vAlign w:val="center"/>
          </w:tcPr>
          <w:p w14:paraId="6D35DE3D"/>
          <w:p w14:paraId="1F6CFE23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US-004；SP-FR-004、SP-FR-022、SP-IF-002、SP-DR-001；OPEN-003</w:t>
            </w:r>
          </w:p>
          <w:p w14:paraId="1810056F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US-004; SP-FR-004, SP-FR-022, SP-IF-002, SP-DR-001; OPEN-003</w:t>
            </w:r>
          </w:p>
        </w:tc>
        <w:tc>
          <w:tcPr>
            <w:tcW w:w="2088" w:type="dxa"/>
            <w:vAlign w:val="center"/>
          </w:tcPr>
          <w:p w14:paraId="438B1A33"/>
          <w:p w14:paraId="0DE12B2C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有审核权限的管理员</w:t>
            </w:r>
          </w:p>
          <w:p w14:paraId="58B69D42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Администратор с правом проверки</w:t>
            </w:r>
          </w:p>
        </w:tc>
        <w:tc>
          <w:tcPr>
            <w:tcW w:w="4032" w:type="dxa"/>
            <w:vAlign w:val="center"/>
          </w:tcPr>
          <w:p w14:paraId="641EAE44"/>
          <w:p w14:paraId="0BC6DEDD">
            <w:pPr>
              <w:spacing w:after="2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提交决定、可信来源引用及 revision；服务端复核权限和快照，并将状态与最少审计事件原子保存。</w:t>
            </w:r>
          </w:p>
          <w:p w14:paraId="2E5692DE">
            <w:pPr>
              <w:spacing w:after="0" w:line="247" w:lineRule="auto"/>
            </w:pPr>
            <w:r>
              <w:rPr>
                <w:rFonts w:ascii="Arial" w:hAnsi="Arial" w:eastAsia="Heiti SC"/>
                <w:b w:val="0"/>
                <w:sz w:val="16"/>
              </w:rPr>
              <w:t>Передаёт решение, ссылку на достоверный источник и revision; сервер повторно проверяет права и снимок, атомарно сохраняет статус и минимальное событие.</w:t>
            </w:r>
          </w:p>
        </w:tc>
      </w:tr>
    </w:tbl>
    <w:p w14:paraId="75274D90">
      <w:pPr>
        <w:spacing w:after="0"/>
      </w:pPr>
      <w:bookmarkStart w:id="0" w:name="_GoBack"/>
      <w:bookmarkEnd w:id="0"/>
    </w:p>
    <w:sectPr>
      <w:pgSz w:w="16834" w:h="11909" w:orient="landscape"/>
      <w:pgMar w:top="648" w:right="720" w:bottom="605" w:left="720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DA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52" w:lineRule="auto"/>
    </w:pPr>
    <w:rPr>
      <w:rFonts w:ascii="Arial" w:hAnsi="Arial" w:eastAsiaTheme="minorEastAsia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川一</cp:lastModifiedBy>
  <dcterms:modified xsi:type="dcterms:W3CDTF">2026-10-16T10:36:07Z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D98BC167B5ADBAAA978DD16A640EC973_42</vt:lpwstr>
  </property>
</Properties>
</file>