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BF355">
      <w:pPr>
        <w:spacing w:before="0" w:after="230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31"/>
          <w:szCs w:val="31"/>
        </w:rPr>
        <w:t>StudySpace 任务一测试计划 / План тестирования StudySpace — задание 1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7696"/>
      </w:tblGrid>
      <w:tr w14:paraId="029A0AE5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BBF453F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项目 / Поле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2EE0075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内容 / Значение</w:t>
            </w:r>
          </w:p>
        </w:tc>
      </w:tr>
      <w:tr w14:paraId="7260A704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2C9530B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文档编号 / ID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1ECD173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SS-TP-01</w:t>
            </w:r>
          </w:p>
        </w:tc>
      </w:tr>
      <w:tr w14:paraId="523B62B8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85C3F90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版本 / Версия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D494D79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2.0；按课堂图片的六项要求修订 / Версия 2.0; доработано по шести разделам задания</w:t>
            </w:r>
          </w:p>
        </w:tc>
      </w:tr>
      <w:tr w14:paraId="496BC1C7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D7D687F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日期 / Дата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1B999E8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2026-10-16</w:t>
            </w:r>
          </w:p>
        </w:tc>
      </w:tr>
      <w:tr w14:paraId="02C986FA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D6DF6D3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状态 / Статус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3411921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DRAFT；需求 PROPOSED；业务用例 NOT_RUN / Черновик; требования PROPOSED; бизнес-тесты NOT_RUN</w:t>
            </w:r>
          </w:p>
        </w:tc>
      </w:tr>
      <w:tr w14:paraId="13FA69CE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161571B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项目基线 / Основа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CC026F8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需求澄清 0.3.0；应用骨架 0.1.0 / Уточнение требований 0.3.0; каркас приложения 0.1.0</w:t>
            </w:r>
          </w:p>
        </w:tc>
      </w:tr>
    </w:tbl>
    <w:p w14:paraId="15B858AF">
      <w:pPr>
        <w:pStyle w:val="2"/>
        <w:spacing w:before="215" w:after="115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3"/>
          <w:szCs w:val="23"/>
        </w:rPr>
        <w:t>1. 范围 / Область тестирования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7696"/>
      </w:tblGrid>
      <w:tr w14:paraId="599510CE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3BDA7BE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编号 / №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145DA16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范围内容 / Содержание</w:t>
            </w:r>
          </w:p>
        </w:tc>
      </w:tr>
      <w:tr w14:paraId="602CE59B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B5F6EA6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IN-1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4F942DC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范围内：学生注册、登录、角色权限及校内身份人工审核；只有 ENABLED + STUDENT + VERIFIED 可预约（FR-001～FR-003、FR-022）。</w:t>
            </w:r>
          </w:p>
          <w:p w14:paraId="4A884DE0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Включено: регистрация, вход, права и ручная проверка принадлежности к вузу; бронирование доступно только ENABLED + STUDENT + VERIFIED (FR-001–FR-003, FR-022).</w:t>
            </w:r>
          </w:p>
        </w:tc>
      </w:tr>
      <w:tr w14:paraId="0CFEBDDA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3B2E502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IN-2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5832BF4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范围内：教室/自习室、单个座位、开放时间的查询与管理（FR-004～FR-006、FR-011～FR-012、FR-017）。</w:t>
            </w:r>
          </w:p>
          <w:p w14:paraId="38B8CF3C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Включено: просмотр и управление помещениями, отдельными местами и часами работы (FR-004–FR-006, FR-011–FR-012, FR-017).</w:t>
            </w:r>
          </w:p>
        </w:tc>
      </w:tr>
      <w:tr w14:paraId="73917A3E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8BCF378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IN-3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56E3F02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范围内：创建、冲突判定与取消预约；每条预约一个座位，同一学生或同一座位的重叠时段拒绝，相邻与非重叠时段允许（FR-007～FR-009、BR-001～BR-005）。</w:t>
            </w:r>
          </w:p>
          <w:p w14:paraId="657868A0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Включено: создание, проверка конфликтов и отмена; одна запись соответствует одному месту, пересечения студента или места отклоняются, соседние и непересекающиеся интервалы допустимы (FR-007–FR-009, BR-001–BR-005).</w:t>
            </w:r>
          </w:p>
        </w:tc>
      </w:tr>
      <w:tr w14:paraId="631878E2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D4AD5CE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IN-4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8008494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范围内：个人预约记录、管理员操作及基础统计（FR-010、FR-013～FR-016）。</w:t>
            </w:r>
          </w:p>
          <w:p w14:paraId="76E9D6A3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Включено: личная история, действия администратора и базовая статистика (FR-010, FR-013–FR-016).</w:t>
            </w:r>
          </w:p>
        </w:tc>
      </w:tr>
      <w:tr w14:paraId="34537778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EECCD17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IN-5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DB676D2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范围内：核心流程的中、俄、英三语界面，以及权限、隐私和事务一致性检查（NFR-003～NFR-004、NFR-006～NFR-007）。</w:t>
            </w:r>
          </w:p>
          <w:p w14:paraId="1E5B26DB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Включено: основные сценарии интерфейса на китайском, русском и английском; права, приватность и согласованность транзакций (NFR-003–NFR-004, NFR-006–NFR-007).</w:t>
            </w:r>
          </w:p>
        </w:tc>
      </w:tr>
      <w:tr w14:paraId="71CCD762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837F658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OUT-1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17ECE11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范围外：预约提醒和二维码签到（FR-018、FR-019；未来版本）。</w:t>
            </w:r>
          </w:p>
          <w:p w14:paraId="17E21FD9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Исключено: напоминания и регистрация по QR-коду (FR-018, FR-019; будущая версия).</w:t>
            </w:r>
          </w:p>
        </w:tc>
      </w:tr>
      <w:tr w14:paraId="752D7E03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0B1E740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OUT-2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FD3FF87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范围外：违约记录和资源使用率统计（FR-020、FR-021；未来版本）。</w:t>
            </w:r>
          </w:p>
          <w:p w14:paraId="065A7794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Исключено: учёт нарушений и статистика использования ресурсов (FR-020, FR-021; будущая версия).</w:t>
            </w:r>
          </w:p>
        </w:tc>
      </w:tr>
    </w:tbl>
    <w:p w14:paraId="5BEA959D">
      <w:pPr>
        <w:pStyle w:val="2"/>
        <w:spacing w:before="215" w:after="115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3"/>
          <w:szCs w:val="23"/>
        </w:rPr>
        <w:t>2. 方法 / Подход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7696"/>
      </w:tblGrid>
      <w:tr w14:paraId="367DA2F9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6B0504D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层级 / Уровень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70B6D9A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工具、自动化与人工工作 / Инструменты, автоматизация и ручная работа</w:t>
            </w:r>
          </w:p>
        </w:tc>
      </w:tr>
      <w:tr w14:paraId="181DBDD7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CE36457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A-1 单元与服务层 / Модульный и сервисный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36A26B2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后端计划使用 pytest，前端使用 Vitest；自动检查资格、时间边界、冲突及组件行为，人工复核需求预期。</w:t>
            </w:r>
          </w:p>
          <w:p w14:paraId="43096566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Для сервера запланирован pytest, для клиента — Vitest; автоматические проверки прав, границ времени, конфликтов и компонентов, ручная сверка ожидаемого результата с требованиями.</w:t>
            </w:r>
          </w:p>
        </w:tc>
      </w:tr>
      <w:tr w14:paraId="10D995FA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E4BB521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A-2 API 与数据库集成 / Интеграция API и БД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7F054EC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业务 API 实现后，用隔离数据库和合成数据自动验证请求、权限、回滚与并发；分别检查 SQLite 和候选 PostgreSQL 的事务行为，并人工检查异常记录。</w:t>
            </w:r>
          </w:p>
          <w:p w14:paraId="36868857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После реализации бизнес-API автоматические проверки запросов, прав, отката и конкуренции на изолированной БД и синтетических данных; транзакции SQLite и планируемой PostgreSQL проверяются отдельно, журналы ошибок просматриваются вручную.</w:t>
            </w:r>
          </w:p>
        </w:tc>
      </w:tr>
      <w:tr w14:paraId="129A2243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5F29B9C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A-3 系统与验收 / Система и приёмка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ACC7AC0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通过浏览器执行中俄英核心流程，自动回归可稳定重复的路径；人工检查译文、可用性、隐私及教师验收材料。教师的实际决定另行记录。</w:t>
            </w:r>
          </w:p>
          <w:p w14:paraId="5D6580CB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Браузерные сценарии на трёх языках; устойчивые пути включаются в автоматическую регрессию, перевод, удобство, приватность и материалы для преподавателя проверяются вручную. Его фактическое решение фиксируется отдельно.</w:t>
            </w:r>
          </w:p>
        </w:tc>
      </w:tr>
    </w:tbl>
    <w:p w14:paraId="67B6A44C">
      <w:pPr>
        <w:spacing w:before="0" w:after="125"/>
        <w:rPr>
          <w:rFonts w:ascii="Arial" w:hAnsi="Arial" w:eastAsia="Arial Unicode MS"/>
          <w:b w:val="0"/>
          <w:bCs w:val="0"/>
          <w:i w:val="0"/>
          <w:iCs w:val="0"/>
          <w:color w:val="243247"/>
          <w:sz w:val="19"/>
          <w:szCs w:val="19"/>
        </w:rPr>
      </w:pPr>
      <w:r>
        <w:rPr>
          <w:rFonts w:ascii="Arial" w:hAnsi="Arial" w:eastAsia="Arial Unicode MS"/>
          <w:b w:val="0"/>
          <w:bCs w:val="0"/>
          <w:i w:val="0"/>
          <w:iCs w:val="0"/>
          <w:color w:val="243247"/>
          <w:sz w:val="19"/>
          <w:szCs w:val="19"/>
        </w:rPr>
        <w:t>重点边界包括默认 08:00–22:00、30 分钟粒度、上海时区的 7 个自然日、最长 24 小时、开始前取消，以及同一座位/学生的并发冲突。24 小时正例只在显式配置全天开放的未来业务日成立；不把默认 14 小时窗口误写为 24 小时开放。</w:t>
      </w:r>
    </w:p>
    <w:p w14:paraId="6ECA902C">
      <w:pPr>
        <w:spacing w:before="0" w:after="125"/>
      </w:pPr>
      <w:r>
        <w:rPr>
          <w:rFonts w:ascii="Arial" w:hAnsi="Arial" w:eastAsia="Arial Unicode MS"/>
          <w:b w:val="0"/>
          <w:bCs w:val="0"/>
          <w:i w:val="0"/>
          <w:iCs w:val="0"/>
          <w:color w:val="243247"/>
          <w:sz w:val="19"/>
          <w:szCs w:val="19"/>
        </w:rPr>
        <w:t xml:space="preserve"> Ключевые границы: обычное окно 08:00–22:00, шаг 30 минут, семь календарных дней по времени Шанхая, максимум 24 часа, отмена до начала и конкурентные конфликты места/студента. Положительный пример на 24 часа возможен лишь при явно заданном круглосуточном окне будущего дня; обычное 14-часовое окно не считается круглосуточным.</w:t>
      </w:r>
    </w:p>
    <w:p w14:paraId="0BFB68DD">
      <w:pPr>
        <w:pStyle w:val="2"/>
        <w:spacing w:before="215" w:after="115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3"/>
          <w:szCs w:val="23"/>
        </w:rPr>
        <w:t>3. 环境 / Среда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7696"/>
      </w:tblGrid>
      <w:tr w14:paraId="76BD6689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0B2EB09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编号 / №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35D0C54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测试环境与数据 / Среда и данные</w:t>
            </w:r>
          </w:p>
        </w:tc>
      </w:tr>
      <w:tr w14:paraId="749DDC8F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9026044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E-1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DC075E2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服务器与前端：隔离的 FastAPI 后端及 React/TypeScript/Vite 前端；每次记录代码版本、OS、Python/Node 版本、命令和服务地址。</w:t>
            </w:r>
          </w:p>
          <w:p w14:paraId="308C775F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Сервер и клиент: изолированные FastAPI и React/TypeScript/Vite; для каждого запуска фиксируются версия кода, ОС, версии Python/Node, команды и адреса сервисов.</w:t>
            </w:r>
          </w:p>
        </w:tc>
      </w:tr>
      <w:tr w14:paraId="5AEA8EC3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6D083AE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E-2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7AC0E4C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数据库：开发测试使用独立 SQLite；PostgreSQL 是待验证的部署候选，迁移与并发结果须单独记录。</w:t>
            </w:r>
          </w:p>
          <w:p w14:paraId="35DE83E6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БД: отдельная SQLite для разработки; PostgreSQL — кандидат для развёртывания, миграция и конкуренция документируются отдельно.</w:t>
            </w:r>
          </w:p>
        </w:tc>
      </w:tr>
      <w:tr w14:paraId="40A07AF4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072FA4E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E-3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509926C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账号：合成的待审核学生、已核验学生和管理员账号，分别覆盖可读、可预约和管理权限；不得使用真实学生凭据或默认管理员密码。</w:t>
            </w:r>
          </w:p>
          <w:p w14:paraId="11C431DA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Учётные записи: синтетические ожидающий и проверенный студенты, а также администратор для проверки чтения, бронирования и управления; без настоящих учётных данных и пароля администратора по умолчанию.</w:t>
            </w:r>
          </w:p>
        </w:tc>
      </w:tr>
      <w:tr w14:paraId="51F587A2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7ED1AD5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E-4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4643177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数据与时钟：隔离的房间、座位、开放窗口和预约样本；使用可控时钟与 Asia/Shanghai 业务时区，执行后清理测试数据。</w:t>
            </w:r>
          </w:p>
          <w:p w14:paraId="7A0E3589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Данные и часы: изолированные помещения, места, окна и записи; управляемые часы и деловой часовой пояс Asia/Shanghai, очистка после прогона.</w:t>
            </w:r>
          </w:p>
        </w:tc>
      </w:tr>
      <w:tr w14:paraId="6A6A3C00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AF97B71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E-5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5E2477B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校内核验：真实可信渠道仍属 OPEN-003；只使用合成核验材料验证流程，不将模拟审核视为真实学校确认。</w:t>
            </w:r>
          </w:p>
          <w:p w14:paraId="55F83B06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Проверка вуза: надёжный реальный источник остаётся OPEN-003; процесс проверяется только на синтетических данных, имитация не считается подтверждением вуза.</w:t>
            </w:r>
          </w:p>
        </w:tc>
      </w:tr>
    </w:tbl>
    <w:p w14:paraId="2E027241">
      <w:pPr>
        <w:pStyle w:val="2"/>
        <w:spacing w:before="215" w:after="115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3"/>
          <w:szCs w:val="23"/>
        </w:rPr>
        <w:t>4. 角色 / Роли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7696"/>
      </w:tblGrid>
      <w:tr w14:paraId="64F644B1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DAE7B85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角色 / Роль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E63AABF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责任 / Ответственность</w:t>
            </w:r>
          </w:p>
        </w:tc>
      </w:tr>
      <w:tr w14:paraId="7EB8C248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E2855D2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曹浩然：测试员 / 曹浩然: тестировщик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F559754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编写测试计划与用例、准备数据、执行测试、登记结果和证据。</w:t>
            </w:r>
          </w:p>
          <w:p w14:paraId="2CD4CD2B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Пишет план и кейсы, готовит данные, выполняет тесты, фиксирует результаты и свидетельства.</w:t>
            </w:r>
          </w:p>
        </w:tc>
      </w:tr>
      <w:tr w14:paraId="5A3DD4A5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6840905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支浩然：分析员 / 支浩然: аналитик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5AF2F49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评审需求映射、业务规则与预期结果，记录发现的需求歧义。</w:t>
            </w:r>
          </w:p>
          <w:p w14:paraId="47AB6065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Рецензирует связь с требованиями, правила и ожидаемые результаты; фиксирует неоднозначности.</w:t>
            </w:r>
          </w:p>
        </w:tc>
      </w:tr>
      <w:tr w14:paraId="76D304EF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514698F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俞智文：文档编辑 / 俞智文: редактор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92CF5BF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评审中俄两版术语、编号、版本及可追溯性。</w:t>
            </w:r>
          </w:p>
          <w:p w14:paraId="38E16D6A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Рецензирует термины, номера, версии и трассируемость китайской и русской частей.</w:t>
            </w:r>
          </w:p>
        </w:tc>
      </w:tr>
      <w:tr w14:paraId="77A9DD39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9B0DF77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吕嘉伟：项目经理 / 吕嘉伟: менеджер проекта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BC07406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组织内部确认计划、资源与缺陷处理，向教师提交验收材料；不代替教师作课程验收。</w:t>
            </w:r>
          </w:p>
          <w:p w14:paraId="233FD6E6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Организует внутреннее согласование плана, ресурсов и дефектов, передаёт материалы преподавателю; не заменяет его приёмку.</w:t>
            </w:r>
          </w:p>
        </w:tc>
      </w:tr>
      <w:tr w14:paraId="04F4B94C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AF3F464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教师：课程验收方 / Преподаватель: принимающая сторона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F1ECF16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根据实际公布的课程条件作出最终验收决定；姓名、期限和评分条件仍属 OPEN-008。</w:t>
            </w:r>
          </w:p>
          <w:p w14:paraId="23435957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Принимает окончательное решение по фактическим условиям курса; имя, срок и критерии оценивания остаются OPEN-008.</w:t>
            </w:r>
          </w:p>
        </w:tc>
      </w:tr>
    </w:tbl>
    <w:p w14:paraId="73710524">
      <w:pPr>
        <w:pStyle w:val="2"/>
        <w:spacing w:before="215" w:after="115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3"/>
          <w:szCs w:val="23"/>
        </w:rPr>
        <w:t>5. 入口与出口 / Критерии начала и завершения</w:t>
      </w:r>
    </w:p>
    <w:p w14:paraId="4BFD7EDC">
      <w:pPr>
        <w:spacing w:before="0" w:after="125"/>
      </w:pPr>
      <w:r>
        <w:rPr>
          <w:rFonts w:ascii="Arial" w:hAnsi="Arial" w:eastAsia="Arial Unicode MS"/>
          <w:b w:val="0"/>
          <w:bCs w:val="0"/>
          <w:i w:val="0"/>
          <w:iCs w:val="0"/>
          <w:color w:val="243247"/>
          <w:sz w:val="19"/>
          <w:szCs w:val="19"/>
        </w:rPr>
        <w:t>下列标准用于未来执行，当前均不得视为已满足。 / Следующие критерии относятся к будущему выполнению; сейчас они не считаются выполненными.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0"/>
        <w:gridCol w:w="7696"/>
      </w:tblGrid>
      <w:tr w14:paraId="72B95F0B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790F410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编号 / №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C13E732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可测量标准 / Измеримый критерий</w:t>
            </w:r>
          </w:p>
        </w:tc>
      </w:tr>
      <w:tr w14:paraId="12D56CAC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378F386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ENTRY-1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120EB78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入口：本轮纳入的每个 MVP 需求 ID 均有至少 1 个关联 TC、明确的预期结果与评审记录；覆盖率达到 100%。</w:t>
            </w:r>
          </w:p>
          <w:p w14:paraId="1F8AED69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Начало: каждому включённому требованию MVP соответствует минимум один TC, ожидаемый результат и запись рецензирования; покрытие 100%.</w:t>
            </w:r>
          </w:p>
        </w:tc>
      </w:tr>
      <w:tr w14:paraId="0B3CEDEE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9718ABE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ENTRY-2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3A4478E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入口：目标构建可启动，健康/就绪检查符合该环境预期；隔离数据库、可控时钟，以及至少 1 个待审核学生、1 个已核验学生、1 个管理员、2 个座位的合成数据可用。</w:t>
            </w:r>
          </w:p>
          <w:p w14:paraId="18C60EC8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Начало: целевая сборка запускается, проверки состояния соответствуют среде; доступны изолированная БД, управляемые часы и синтетические данные минимум для одного ожидающего студента, одного проверенного, одного администратора и двух мест.</w:t>
            </w:r>
          </w:p>
        </w:tc>
      </w:tr>
      <w:tr w14:paraId="72E9D509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C71C0A9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EXIT-1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7288295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出口：双方确认的 MVP 必测 TC 执行率与通过率均为 100%；必测项中 NOT_RUN、BLOCKED、FAIL 均为 0。</w:t>
            </w:r>
          </w:p>
          <w:p w14:paraId="5B98A5EC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Завершение: выполнение и прохождение согласованного обязательного набора MVP TC составляют 100%; среди них NOT_RUN, BLOCKED и FAIL равны 0.</w:t>
            </w:r>
          </w:p>
        </w:tc>
      </w:tr>
      <w:tr w14:paraId="24FFAC0E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F924884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EXIT-2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D0D44C5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出口：未关闭的阻断级或严重级缺陷为 0；已修复缺陷均有对应重测记录。</w:t>
            </w:r>
          </w:p>
          <w:p w14:paraId="7D32EC84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Завершение: открытых блокирующих или серьёзных дефектов 0; для каждого исправленного дефекта есть запись повторной проверки.</w:t>
            </w:r>
          </w:p>
        </w:tc>
      </w:tr>
      <w:tr w14:paraId="70D94262">
        <w:trPr>
          <w:cantSplit/>
        </w:trPr>
        <w:tc>
          <w:tcPr>
            <w:tcW w:w="205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EA24C66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EXIT-3</w:t>
            </w:r>
          </w:p>
        </w:tc>
        <w:tc>
          <w:tcPr>
            <w:tcW w:w="769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1000CB3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出口：100% 已执行用例记录版本、环境、执行人、日期、预期/实际及证据；形成追溯和总结报告，并记录教师的实际验收决定。</w:t>
            </w:r>
          </w:p>
          <w:p w14:paraId="44E14165">
            <w:pPr>
              <w:spacing w:before="0" w:after="30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243247"/>
                <w:sz w:val="17"/>
                <w:szCs w:val="17"/>
              </w:rPr>
              <w:t>Завершение: для 100% выполненных кейсов записаны версия, среда, исполнитель, дата, ожидаемое/фактическое и свидетельство; подготовлены трассировка и отчёт, фактическое решение преподавателя зафиксировано.</w:t>
            </w:r>
          </w:p>
        </w:tc>
      </w:tr>
    </w:tbl>
    <w:p w14:paraId="3BE74221">
      <w:pPr>
        <w:pStyle w:val="2"/>
        <w:spacing w:before="215" w:after="115"/>
      </w:pPr>
      <w:r>
        <w:rPr>
          <w:rFonts w:ascii="Arial" w:hAnsi="Arial" w:eastAsia="Arial Unicode MS"/>
          <w:b/>
          <w:bCs/>
          <w:i w:val="0"/>
          <w:iCs w:val="0"/>
          <w:color w:val="173A5E"/>
          <w:sz w:val="23"/>
          <w:szCs w:val="23"/>
        </w:rPr>
        <w:t>6. 风险与措施 / Риски и меры</w:t>
      </w:r>
    </w:p>
    <w:tbl>
      <w:tblPr>
        <w:tblStyle w:val="11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3500"/>
        <w:gridCol w:w="5146"/>
      </w:tblGrid>
      <w:tr w14:paraId="14B86577">
        <w:trPr>
          <w:cantSplit/>
        </w:trPr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C2A875E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编号 / №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6912237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风险 / Риск</w:t>
            </w:r>
          </w:p>
        </w:tc>
        <w:tc>
          <w:tcPr>
            <w:tcW w:w="514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val="clear" w:color="auto" w:fill="315A7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44EDC3A">
            <w:pPr>
              <w:spacing w:before="0" w:after="56"/>
            </w:pPr>
            <w:r>
              <w:rPr>
                <w:rFonts w:ascii="Arial" w:hAnsi="Arial" w:eastAsia="Arial Unicode MS"/>
                <w:b/>
                <w:bCs/>
                <w:i w:val="0"/>
                <w:iCs w:val="0"/>
                <w:color w:val="FFFFFF"/>
                <w:sz w:val="18"/>
                <w:szCs w:val="18"/>
              </w:rPr>
              <w:t>措施 / Мера</w:t>
            </w:r>
          </w:p>
        </w:tc>
      </w:tr>
      <w:tr w14:paraId="73FE22E6">
        <w:trPr>
          <w:cantSplit/>
        </w:trPr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AFBFBF2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R-1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0730815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真实校内身份核验渠道未落实，模拟审核可能被误当成真实通过（OPEN-003）。</w:t>
            </w:r>
          </w:p>
          <w:p w14:paraId="41C53105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Источник настоящей проверки вуза не определён; имитацию можно ошибочно принять за подтверждение (OPEN-003).</w:t>
            </w:r>
          </w:p>
        </w:tc>
        <w:tc>
          <w:tcPr>
            <w:tcW w:w="514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5B3986F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仅以合成数据测流程；未知来源保持 fail closed；取得可信渠道并补测后才声称真实核验。</w:t>
            </w:r>
          </w:p>
          <w:p w14:paraId="3D72ED8D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Проверять процесс только на синтетических данных, при неизвестном источнике не выдавать допуск; реальную проверку заявлять лишь после получения надёжного канала и дополнительных тестов.</w:t>
            </w:r>
          </w:p>
        </w:tc>
      </w:tr>
      <w:tr w14:paraId="2CA1872A">
        <w:trPr>
          <w:cantSplit/>
        </w:trPr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60884A4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R-2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BC92BD4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SQLite 与 PostgreSQL 的锁和并发行为可能不同，造成重复预约或错误成功。</w:t>
            </w:r>
          </w:p>
          <w:p w14:paraId="7739AC2F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Различия блокировок и конкуренции SQLite и PostgreSQL могут привести к двойной записи или ложному успеху.</w:t>
            </w:r>
          </w:p>
        </w:tc>
        <w:tc>
          <w:tcPr>
            <w:tcW w:w="514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F2F1E21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在两种数据库分别执行同座位、同学生并发及回滚测试；检查服务端事务，保留失败证据。</w:t>
            </w:r>
          </w:p>
          <w:p w14:paraId="369364D0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Отдельно проверить на обеих БД конкурентные запросы к одному месту и одному студенту, а также откат; проверить серверную транзакцию и сохранить свидетельства ошибок.</w:t>
            </w:r>
          </w:p>
        </w:tc>
      </w:tr>
      <w:tr w14:paraId="7BFD9F3C">
        <w:trPr>
          <w:cantSplit/>
        </w:trPr>
        <w:tc>
          <w:tcPr>
            <w:tcW w:w="11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6D5620A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R-3</w:t>
            </w:r>
          </w:p>
        </w:tc>
        <w:tc>
          <w:tcPr>
            <w:tcW w:w="3500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6C6B8D0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教师验收条件、课程期限和评分细节未确认（OPEN-008），可能导致提交口径偏差。</w:t>
            </w:r>
          </w:p>
          <w:p w14:paraId="3E63EEAE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Условия приёмки, срок и оценивание преподавателя не уточнены (OPEN-008), что может изменить состав сдачи.</w:t>
            </w:r>
          </w:p>
        </w:tc>
        <w:tc>
          <w:tcPr>
            <w:tcW w:w="5146" w:type="dxa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E6F0041">
            <w:pPr>
              <w:spacing w:before="0" w:after="56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提前核对并记录教师要求，更新必测清单及出口标准；取得实际决定前保持 DRAFT/未验收。</w:t>
            </w:r>
          </w:p>
          <w:p w14:paraId="3115A26D">
            <w:pPr>
              <w:spacing w:before="0" w:after="30"/>
            </w:pPr>
            <w:r>
              <w:rPr>
                <w:rFonts w:ascii="Arial" w:hAnsi="Arial" w:eastAsia="Arial Unicode MS"/>
                <w:b w:val="0"/>
                <w:bCs w:val="0"/>
                <w:i w:val="0"/>
                <w:iCs w:val="0"/>
                <w:color w:val="243247"/>
                <w:sz w:val="17"/>
                <w:szCs w:val="17"/>
              </w:rPr>
              <w:t>Заранее уточнить и записать требования преподавателя, обновить обязательные кейсы и критерии завершения; до фактического решения сохранять статус черновика и отсутствие приёмки.</w:t>
            </w:r>
          </w:p>
        </w:tc>
      </w:tr>
    </w:tbl>
    <w:p w14:paraId="03A2BC43">
      <w:pPr>
        <w:spacing w:before="0" w:after="125"/>
      </w:pPr>
      <w:bookmarkStart w:id="0" w:name="_GoBack"/>
      <w:bookmarkEnd w:id="0"/>
    </w:p>
    <w:sectPr>
      <w:footerReference r:id="rId3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B2872">
    <w:pPr>
      <w:jc w:val="right"/>
    </w:pPr>
    <w:r>
      <w:rPr>
        <w:rFonts w:ascii="Arial" w:hAnsi="Arial" w:eastAsia="Arial Unicode MS"/>
        <w:b w:val="0"/>
        <w:bCs w:val="0"/>
        <w:i w:val="0"/>
        <w:iCs w:val="0"/>
        <w:color w:val="64748B"/>
        <w:sz w:val="15"/>
        <w:szCs w:val="15"/>
      </w:rPr>
      <w:t xml:space="preserve">SS-TP-01 · DRAFT · 2026-10-16 ·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 xml:space="preserve">PAGE</w:instrText>
    </w:r>
    <w:r>
      <w:rPr>
        <w:color w:val="64748B"/>
        <w:sz w:val="15"/>
        <w:szCs w:val="15"/>
      </w:rPr>
      <w:fldChar w:fldCharType="separate"/>
    </w:r>
    <w:r>
      <w:rPr>
        <w:color w:val="64748B"/>
        <w:sz w:val="15"/>
        <w:szCs w:val="15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DCBFC8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19"/>
      <w:szCs w:val="19"/>
    </w:rPr>
  </w:style>
  <w:style w:type="paragraph" w:styleId="2">
    <w:name w:val="heading 1"/>
    <w:next w:val="1"/>
    <w:qFormat/>
    <w:uiPriority w:val="0"/>
    <w:pPr>
      <w:spacing w:before="215" w:after="115"/>
      <w:outlineLvl w:val="0"/>
    </w:pPr>
    <w:rPr>
      <w:rFonts w:ascii="Arial" w:hAnsi="Arial" w:eastAsia="Arial" w:cs="Arial"/>
      <w:b/>
      <w:bCs/>
      <w:color w:val="173A5E"/>
      <w:sz w:val="23"/>
      <w:szCs w:val="23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19"/>
      <w:szCs w:val="19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cp:lastModifiedBy>川一</cp:lastModifiedBy>
  <dcterms:modified xsi:type="dcterms:W3CDTF">2026-10-16T17:28:39Z</dcterms:modified>
  <dc:title>StudySpace 任务一测试计划 / План тестирования StudySpace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8ED5B66CDDA6BE6B47EED16A17AAA055_42</vt:lpwstr>
  </property>
</Properties>
</file>