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40" w:line="240" w:lineRule="auto"/>
      </w:pPr>
      <w:r>
        <w:rPr>
          <w:color w:val="000000"/>
          <w:sz w:val="30"/>
        </w:rPr>
        <w:t>CampusFix 缺陷材料包评审检查表</w:t>
      </w:r>
    </w:p>
    <w:p>
      <w:pPr>
        <w:pStyle w:val="Title"/>
        <w:keepNext/>
        <w:spacing w:before="0" w:after="40" w:line="240" w:lineRule="auto"/>
      </w:pPr>
      <w:r>
        <w:rPr>
          <w:color w:val="000000"/>
          <w:sz w:val="30"/>
        </w:rPr>
        <w:t>CampusFix Чек лист рецензии дефект пакета</w:t>
      </w:r>
    </w:p>
    <w:p>
      <w:pPr>
        <w:keepNext/>
        <w:spacing w:before="0" w:after="40" w:line="240" w:lineRule="auto"/>
      </w:pPr>
      <w:r>
        <w:rPr>
          <w:color w:val="000000"/>
          <w:sz w:val="18"/>
        </w:rPr>
        <w:t>2026-10-19  v1  课程材料自查  DRAFT</w:t>
      </w:r>
    </w:p>
    <w:p>
      <w:pPr>
        <w:keepNext w:val="0"/>
        <w:spacing w:before="0" w:after="40" w:line="240" w:lineRule="auto"/>
      </w:pPr>
      <w:r>
        <w:rPr>
          <w:color w:val="000000"/>
          <w:sz w:val="18"/>
        </w:rPr>
        <w:t>2026-10-19  v1  Учебная самопроверка  DRAFT</w:t>
      </w:r>
    </w:p>
    <w:p>
      <w:pPr>
        <w:keepNext/>
        <w:spacing w:before="0" w:after="40" w:line="240" w:lineRule="auto"/>
      </w:pPr>
      <w:r>
        <w:rPr>
          <w:color w:val="000000"/>
          <w:sz w:val="20"/>
        </w:rPr>
        <w:t>评审结论：2 项是，5 项部分，0 项否。材料需补充后复核；本次不变更缺陷或验收状态。</w:t>
      </w:r>
    </w:p>
    <w:p>
      <w:pPr>
        <w:keepNext w:val="0"/>
        <w:spacing w:before="0" w:after="40" w:line="240" w:lineRule="auto"/>
      </w:pPr>
      <w:r>
        <w:rPr>
          <w:color w:val="000000"/>
          <w:sz w:val="20"/>
        </w:rPr>
        <w:t>Итог: 2 «Да», 5 «Частично», 0 «Нет». Пакет требует доработки и повторной проверки; статусы дефектов и приёмки не изменяются.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85" w:type="dxa"/>
          <w:right w:w="85" w:type="dxa"/>
        </w:tblCellMar>
      </w:tblPr>
      <w:tblGrid>
        <w:gridCol w:w="3672"/>
        <w:gridCol w:w="1224"/>
        <w:gridCol w:w="5760"/>
      </w:tblGrid>
      <w:tr>
        <w:trPr>
          <w:tblHeader/>
          <w:cantSplit/>
        </w:trPr>
        <w:tc>
          <w:tcPr>
            <w:tcW w:type="dxa" w:w="3672"/>
            <w:shd w:fill="DAEEF0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问题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Вопрос</w:t>
            </w:r>
          </w:p>
        </w:tc>
        <w:tc>
          <w:tcPr>
            <w:tcW w:type="dxa" w:w="1224"/>
            <w:shd w:fill="DAEEF0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是 部分 否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Да Частично Нет</w:t>
            </w:r>
          </w:p>
        </w:tc>
        <w:tc>
          <w:tcPr>
            <w:tcW w:type="dxa" w:w="5760"/>
            <w:shd w:fill="DAEEF0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意见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Замечание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标题是否包含症状和触发条件？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Заголовки содержат симптом и условие?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部分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Частично</w:t>
            </w:r>
          </w:p>
        </w:tc>
        <w:tc>
          <w:tcPr>
            <w:tcW w:type="dxa" w:w="5760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BUG-0201～0204 符合；0205 尚无完整报告，0206 缺独立缺陷标题。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BUG-0201–0204 соответствуют; у 0205 нет полного отчёта, у 0206 — отдельного заголовка дефекта.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无需询问作者即可复现步骤？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Шаги воспроизводимы без вопросов к автору?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部分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Частично</w:t>
            </w:r>
          </w:p>
        </w:tc>
        <w:tc>
          <w:tcPr>
            <w:tcW w:type="dxa" w:w="5760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本地示例可复跑；原系统缺服务器地址、账号准备及可恢复测试数据。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Пример можно повторить; для исходной системы не хватает адреса сервера, подготовки учётных записей и данных.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预期结果与实际结果是否区分？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Ожидаемый и фактический результат разделены?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是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Да</w:t>
            </w:r>
          </w:p>
        </w:tc>
        <w:tc>
          <w:tcPr>
            <w:tcW w:type="dxa" w:w="5760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0201～0204 分列两者；I-7 区分错字与正确标签；0206 有修复前后结果。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В 0201–0204 поля разделены; I-7 различает ошибочную и верную надпись; 0206 содержит результаты до и после.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严重程度与优先级是否有依据？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Серьёзность и приоритет обоснованы?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部分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Частично</w:t>
            </w:r>
          </w:p>
        </w:tc>
        <w:tc>
          <w:tcPr>
            <w:tcW w:type="dxa" w:w="5760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任务三有影响与绕行依据；0206 仅在汇总补定 Minor，未记录优先级。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В задании 3 учтены влияние и обход; для 0206 в сводке задан только Minor, приоритет не указан.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是否关联需求、验收准则和测试用例？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Связи с требованием, критерием и тест-кейсом указаны?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部分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Частично</w:t>
            </w:r>
          </w:p>
        </w:tc>
        <w:tc>
          <w:tcPr>
            <w:tcW w:type="dxa" w:w="5760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0201～0204 链接有效；0206 有 FR/AC/TC；0205 只有 UI-CF-01。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Связи 0201–0204 работают; у 0206 есть FR/AC/TC; у 0205 указано только UI-CF-01.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附件是否必要且无秘密和个人数据？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Вложения нужные, без секретов и персональных данных?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部分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Частично</w:t>
            </w:r>
          </w:p>
        </w:tc>
        <w:tc>
          <w:tcPr>
            <w:tcW w:type="dxa" w:w="5760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示例日志和补丁有用；失败日志含本机用户路径，原系统证据仍未取得。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Логи и патч примера полезны; лог сбоя содержит локальный путь пользователя, свидетельств исходной системы пока нет.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重复项与非缺陷的判定是否合理？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Решения по дубликатам и «не дефектам» разумны?</w:t>
            </w:r>
          </w:p>
        </w:tc>
        <w:tc>
          <w:tcPr>
            <w:tcW w:type="dxa" w:w="1224"/>
            <w:vAlign w:val="center"/>
          </w:tcPr>
          <w:p>
            <w:pPr>
              <w:keepNext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是</w:t>
            </w:r>
          </w:p>
          <w:p>
            <w:pPr>
              <w:keepNext w:val="0"/>
              <w:spacing w:before="0" w:after="40" w:line="240" w:lineRule="auto"/>
              <w:jc w:val="center"/>
            </w:pPr>
            <w:r>
              <w:rPr>
                <w:color w:val="000000"/>
                <w:sz w:val="19"/>
              </w:rPr>
              <w:t>Да</w:t>
            </w:r>
          </w:p>
        </w:tc>
        <w:tc>
          <w:tcPr>
            <w:tcW w:type="dxa" w:w="5760"/>
            <w:vAlign w:val="center"/>
          </w:tcPr>
          <w:p>
            <w:pPr>
              <w:keepNext/>
              <w:spacing w:before="0" w:after="40" w:line="240" w:lineRule="auto"/>
            </w:pPr>
            <w:r>
              <w:rPr>
                <w:color w:val="000000"/>
                <w:sz w:val="19"/>
              </w:rPr>
              <w:t>I-5 同条件归并 0201；I-6 匿名访问返回 401，符合教学规则 AUTH-CF-01。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color w:val="000000"/>
                <w:sz w:val="19"/>
              </w:rPr>
              <w:t>I-5 при тех же условиях связан с 0201; ответ 401 для анонимного I-6 соответствует учебному AUTH-CF-01.</w:t>
            </w:r>
          </w:p>
        </w:tc>
      </w:tr>
    </w:tbl>
    <w:p>
      <w:r>
        <w:br w:type="page"/>
      </w:r>
    </w:p>
    <w:p>
      <w:pPr>
        <w:pStyle w:val="Title"/>
        <w:keepNext/>
        <w:spacing w:before="0" w:after="40" w:line="240" w:lineRule="auto"/>
      </w:pPr>
      <w:r>
        <w:rPr>
          <w:color w:val="000000"/>
          <w:sz w:val="30"/>
        </w:rPr>
        <w:t>评审依据与补充事项</w:t>
      </w:r>
    </w:p>
    <w:p>
      <w:pPr>
        <w:pStyle w:val="Title"/>
        <w:keepNext/>
        <w:spacing w:before="0" w:after="40" w:line="240" w:lineRule="auto"/>
      </w:pPr>
      <w:r>
        <w:rPr>
          <w:color w:val="000000"/>
          <w:sz w:val="30"/>
        </w:rPr>
        <w:t>Основания рецензии и доработка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范围与证据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Область и свидетельства</w:t>
      </w:r>
    </w:p>
    <w:p>
      <w:pPr>
        <w:keepNext/>
        <w:spacing w:before="0" w:after="40" w:line="240" w:lineRule="auto"/>
      </w:pPr>
      <w:r>
        <w:rPr>
          <w:color w:val="000000"/>
          <w:sz w:val="21"/>
        </w:rPr>
        <w:t>审查任务二至五的 BUG-0201～0206、I-5 和 I-6。任务二的 24 个内部链接均对应 12 个已定义目标。</w:t>
      </w:r>
    </w:p>
    <w:p>
      <w:pPr>
        <w:keepNext w:val="0"/>
        <w:spacing w:before="0" w:after="40" w:line="240" w:lineRule="auto"/>
      </w:pPr>
      <w:r>
        <w:rPr>
          <w:color w:val="000000"/>
          <w:sz w:val="21"/>
        </w:rPr>
        <w:t>Проверены материалы заданий 2–5: BUG-0201–0206, I-5 и I-6. Все 24 внутренние ссылки задания 2 ведут к 12 определённым целям.</w:t>
      </w:r>
    </w:p>
    <w:p>
      <w:pPr>
        <w:keepNext/>
        <w:spacing w:before="0" w:after="40" w:line="240" w:lineRule="auto"/>
      </w:pPr>
      <w:r>
        <w:rPr>
          <w:color w:val="000000"/>
          <w:sz w:val="21"/>
        </w:rPr>
        <w:t>原系统仍为 NOT_RUN。本次仅核对示例已有日志：修复前 17/18、修复后回归 1/1、全部 18/18；回归包含在全部测试中，未重新运行。</w:t>
      </w:r>
    </w:p>
    <w:p>
      <w:pPr>
        <w:keepNext w:val="0"/>
        <w:spacing w:before="0" w:after="40" w:line="240" w:lineRule="auto"/>
      </w:pPr>
      <w:r>
        <w:rPr>
          <w:color w:val="000000"/>
          <w:sz w:val="21"/>
        </w:rPr>
        <w:t>Исходная система — NOT_RUN. Проверены прежние логи примера: до исправления 17/18, после — регрессия 1/1 и весь набор 18/18. Регрессия входит в набор; повторного запуска не было.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R-01 补全缺陷标题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R-01 Дополнить заголовки дефектов</w:t>
      </w:r>
    </w:p>
    <w:p>
      <w:pPr>
        <w:keepNext/>
        <w:spacing w:before="0" w:after="40" w:line="240" w:lineRule="auto"/>
      </w:pPr>
      <w:r>
        <w:rPr>
          <w:color w:val="000000"/>
          <w:sz w:val="21"/>
        </w:rPr>
        <w:t>建议 BUG-0205：俄语新建申请表单的提交按钮显示 «Отпавить»；建议 BUG-0206：去除首尾空白后描述长为 1001 字符时 Validate 仍接受输入。标题为本次建议，未回写原报告。</w:t>
      </w:r>
    </w:p>
    <w:p>
      <w:pPr>
        <w:keepNext w:val="0"/>
        <w:spacing w:before="0" w:after="40" w:line="240" w:lineRule="auto"/>
      </w:pPr>
      <w:r>
        <w:rPr>
          <w:color w:val="000000"/>
          <w:sz w:val="21"/>
        </w:rPr>
        <w:t>Предлагается для BUG-0205: «В русской форме новой заявки кнопка отправки подписана “Отпавить”». Для BUG-0206: «Validate принимает описание длиной 1001 символ после удаления внешних пробелов». Это предложения без изменения прежних отчётов.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R-02 补齐原系统复现条件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R-02 Дополнить условия воспроизведения</w:t>
      </w:r>
    </w:p>
    <w:p>
      <w:pPr>
        <w:keepNext/>
        <w:spacing w:before="0" w:after="40" w:line="240" w:lineRule="auto"/>
      </w:pPr>
      <w:r>
        <w:rPr>
          <w:color w:val="000000"/>
          <w:sz w:val="21"/>
        </w:rPr>
        <w:t>补服务器、构建号、SSO 入口、测试账号和数据准备及重置方法；BUG-0201 另需年份、时区和尝试次数。报告不得包含密码或令牌。</w:t>
      </w:r>
    </w:p>
    <w:p>
      <w:pPr>
        <w:keepNext w:val="0"/>
        <w:spacing w:before="0" w:after="40" w:line="240" w:lineRule="auto"/>
      </w:pPr>
      <w:r>
        <w:rPr>
          <w:color w:val="000000"/>
          <w:sz w:val="21"/>
        </w:rPr>
        <w:t>Добавить сервер, сборку, вход SSO, подготовку и сброс аккаунтов и данных; для BUG-0201 — год, часовой пояс и число попыток. Пароли и токены не включать.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R-04 R-05 补齐分级与追溯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R-04 R-05 Дополнить оценку и трассируемость</w:t>
      </w:r>
    </w:p>
    <w:p>
      <w:pPr>
        <w:keepNext/>
        <w:spacing w:before="0" w:after="40" w:line="240" w:lineRule="auto"/>
      </w:pPr>
      <w:r>
        <w:rPr>
          <w:color w:val="000000"/>
          <w:sz w:val="21"/>
        </w:rPr>
        <w:t>BUG-0206 的 Minor 为任务五新增教学判断，需补优先级和依据；BUG-0205 需形成完整报告并关联需求、验收准则、测试用例，新增编号时先查登记表。</w:t>
      </w:r>
    </w:p>
    <w:p>
      <w:pPr>
        <w:keepNext w:val="0"/>
        <w:spacing w:before="0" w:after="40" w:line="240" w:lineRule="auto"/>
      </w:pPr>
      <w:r>
        <w:rPr>
          <w:color w:val="000000"/>
          <w:sz w:val="21"/>
        </w:rPr>
        <w:t>Minor для BUG-0206 — учебная оценка задания 5; добавить приоритет и обоснование. Для BUG-0205 оформить полный отчёт и связи с требованием, критерием и тестом; перед новым ID проверить реестр.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R-06 整理证据和脱敏副本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R-06 Подготовить свидетельства и обезличенные копии</w:t>
      </w:r>
    </w:p>
    <w:p>
      <w:pPr>
        <w:keepNext/>
        <w:spacing w:before="0" w:after="40" w:line="240" w:lineRule="auto"/>
      </w:pPr>
      <w:r>
        <w:rPr>
          <w:color w:val="000000"/>
          <w:sz w:val="21"/>
        </w:rPr>
        <w:t>三份日志及源代码校验值一致；26 份文本的有限模式扫描未命中私钥或常见 API 密钥。仍需检查账号、Cookie 和截图，对外副本去除本机用户路径，原始日志保留。</w:t>
      </w:r>
    </w:p>
    <w:p>
      <w:pPr>
        <w:keepNext w:val="0"/>
        <w:spacing w:before="0" w:after="40" w:line="240" w:lineRule="auto"/>
      </w:pPr>
      <w:r>
        <w:rPr>
          <w:color w:val="000000"/>
          <w:sz w:val="21"/>
        </w:rPr>
        <w:t>Хеши трёх логов и кода совпадают. Ограниченный поиск в 26 текстах не выявил закрытых ключей и типовых API-ключей. Ещё проверить аккаунты, Cookie и снимки; внешние копии очистить от локальных путей, оригиналы сохранить.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复核与验收边界</w:t>
      </w:r>
    </w:p>
    <w:p>
      <w:pPr>
        <w:pStyle w:val="Heading1"/>
        <w:keepNext/>
        <w:spacing w:before="0" w:after="40" w:line="240" w:lineRule="auto"/>
      </w:pPr>
      <w:r>
        <w:rPr>
          <w:color w:val="000000"/>
          <w:sz w:val="22"/>
        </w:rPr>
        <w:t>Повторная проверка и границы приёмки</w:t>
      </w:r>
    </w:p>
    <w:p>
      <w:pPr>
        <w:keepNext/>
        <w:spacing w:before="0" w:after="40" w:line="240" w:lineRule="auto"/>
      </w:pPr>
      <w:r>
        <w:rPr>
          <w:color w:val="000000"/>
          <w:sz w:val="21"/>
        </w:rPr>
        <w:t>补充上述材料后逐项复核。保留任务五的暂缓验收建议：Critical 与 Major 各有 1 项未关闭，正式测试计划 3.4.1 尚未提供。评审完成不代表教师批准或原系统修复。</w:t>
      </w:r>
    </w:p>
    <w:p>
      <w:pPr>
        <w:keepNext w:val="0"/>
        <w:spacing w:before="0" w:after="40" w:line="240" w:lineRule="auto"/>
      </w:pPr>
      <w:r>
        <w:rPr>
          <w:color w:val="000000"/>
          <w:sz w:val="21"/>
        </w:rPr>
        <w:t>После дополнения повторить проверку по пунктам. Рекомендация задания 5 сохраняется: отложить приёмку, открыты 1 Critical и 1 Major; официальный п. 3.4.1 тест-плана не предоставлен. Рецензия не означает одобрения преподавателем или исправления исходной системы.</w:t>
      </w:r>
    </w:p>
    <w:sectPr w:rsidR="00FC693F" w:rsidRPr="0006063C" w:rsidSect="00034616">
      <w:footerReference w:type="default" r:id="rId9"/>
      <w:pgSz w:w="12240" w:h="15840"/>
      <w:pgMar w:top="720" w:right="792" w:bottom="720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CampusFix  v1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45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5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CampusFix 缺陷材料包评审检查表</dc:title>
  <dc:subject>七项检查 证据审查 补充事项 中俄逐段对照</dc:subject>
  <dc:creator>StudySpace Coursework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