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 Unicode MS" w:hAnsi="Arial Unicode MS" w:eastAsia="Arial Unicode MS" w:cs="Arial Unicode MS"/>
          <w:sz w:val="32"/>
        </w:rPr>
        <w:t>Arial Unicode MS 大学食堂预订系统 测试中文字体 Столовая меню</w:t>
      </w:r>
    </w:p>
    <w:p>
      <w:r>
        <w:rPr>
          <w:rFonts w:ascii="Songti SC" w:hAnsi="Songti SC" w:eastAsia="Songti SC" w:cs="Songti SC"/>
          <w:sz w:val="32"/>
        </w:rPr>
        <w:t>Songti SC 大学食堂预订系统 测试中文字体 Столовая меню</w:t>
      </w:r>
    </w:p>
    <w:p>
      <w:r>
        <w:rPr>
          <w:rFonts w:ascii="Heiti SC" w:hAnsi="Heiti SC" w:eastAsia="Heiti SC" w:cs="Heiti SC"/>
          <w:sz w:val="32"/>
        </w:rPr>
        <w:t>Heiti SC 大学食堂预订系统 测试中文字体 Столовая меню</w:t>
      </w:r>
    </w:p>
    <w:p>
      <w:r>
        <w:rPr>
          <w:rFonts w:ascii="PingFang SC" w:hAnsi="PingFang SC" w:eastAsia="PingFang SC" w:cs="PingFang SC"/>
          <w:sz w:val="32"/>
        </w:rPr>
        <w:t>PingFang SC 大学食堂预订系统 测试中文字体 Столовая меню</w:t>
      </w:r>
    </w:p>
    <w:p>
      <w:r>
        <w:rPr>
          <w:rFonts w:ascii="SimSun" w:hAnsi="SimSun" w:eastAsia="SimSun" w:cs="SimSun"/>
          <w:sz w:val="32"/>
        </w:rPr>
        <w:t>SimSun 大学食堂预订系统 测试中文字体 Столовая меню</w:t>
      </w:r>
    </w:p>
    <w:p>
      <w:r>
        <w:rPr>
          <w:rFonts w:ascii="Noto Sans CJK SC" w:hAnsi="Noto Sans CJK SC" w:eastAsia="Noto Sans CJK SC" w:cs="Noto Sans CJK SC"/>
          <w:sz w:val="32"/>
        </w:rPr>
        <w:t>Noto Sans CJK SC 大学食堂预订系统 测试中文字体 Столовая меню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