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859F">
      <w:pPr>
        <w:pStyle w:val="31"/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StudySpace 节点与制品表</w:t>
      </w:r>
    </w:p>
    <w:p w14:paraId="294844A9">
      <w:pPr>
        <w:pStyle w:val="31"/>
      </w:pPr>
      <w:r>
        <w:rPr>
          <w:rFonts w:ascii="Arial" w:hAnsi="Arial" w:eastAsia="PingFang SC" w:cs="Arial"/>
          <w:b w:val="0"/>
          <w:color w:val="000000"/>
          <w:lang w:val="ru-RU"/>
        </w:rPr>
        <w:t>StudySpace Узлы и артефакты</w:t>
      </w:r>
    </w:p>
    <w:p w14:paraId="2C542A56">
      <w:pPr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任务 1  节点与制品</w:t>
      </w:r>
    </w:p>
    <w:p w14:paraId="0ABF1583">
      <w:r>
        <w:rPr>
          <w:rFonts w:ascii="Arial" w:hAnsi="Arial" w:eastAsia="PingFang SC" w:cs="Arial"/>
          <w:b w:val="0"/>
          <w:color w:val="000000"/>
          <w:lang w:val="ru-RU"/>
        </w:rPr>
        <w:t>Задание 1  Узлы и артефакты</w:t>
      </w:r>
    </w:p>
    <w:p w14:paraId="58C885FD">
      <w:r>
        <w:rPr>
          <w:rFonts w:ascii="Arial" w:hAnsi="Arial" w:eastAsia="PingFang SC" w:cs="Arial"/>
          <w:b w:val="0"/>
          <w:color w:val="000000"/>
          <w:sz w:val="18"/>
        </w:rPr>
        <w:t>SS-DEP-T1-01  |  v1  |  2026-10-15  |  DRAFT</w:t>
      </w:r>
    </w:p>
    <w:p w14:paraId="239D9BBB">
      <w:pPr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StudySpace 采用 React 浏览器客户端与 FastAPI 模块化单体；开发使用 SQLite，目标部署选择 Docker Compose、Caddy 和 PostgreSQL。下表按课堂五个字段列出节点、制品与通信方式，并保留现有配置和目标方案的状态。</w:t>
      </w:r>
    </w:p>
    <w:p w14:paraId="294E24F0">
      <w:r>
        <w:rPr>
          <w:rFonts w:ascii="Arial" w:hAnsi="Arial" w:eastAsia="PingFang SC" w:cs="Arial"/>
          <w:b w:val="0"/>
          <w:color w:val="000000"/>
          <w:lang w:val="ru-RU"/>
        </w:rPr>
        <w:t>StudySpace использует браузерный клиент React и модульный монолит FastAPI; для разработки — SQLite, для целевого размещения выбраны Docker Compose, Caddy и PostgreSQL. Таблица содержит пять полей задания и сохраняет статусы текущих конфигураций и целевой схемы.</w:t>
      </w:r>
    </w:p>
    <w:p w14:paraId="2D5EAB56">
      <w:pPr>
        <w:pStyle w:val="3"/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1 节点与制品表</w:t>
      </w:r>
    </w:p>
    <w:p w14:paraId="35411395">
      <w:pPr>
        <w:pStyle w:val="3"/>
      </w:pPr>
      <w:r>
        <w:rPr>
          <w:rFonts w:ascii="Arial" w:hAnsi="Arial" w:eastAsia="PingFang SC" w:cs="Arial"/>
          <w:b w:val="0"/>
          <w:color w:val="000000"/>
          <w:lang w:val="ru-RU"/>
        </w:rPr>
        <w:t>1 Таблица узлов и артефактов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310"/>
        <w:gridCol w:w="3341"/>
        <w:gridCol w:w="2578"/>
        <w:gridCol w:w="1642"/>
      </w:tblGrid>
      <w:tr w14:paraId="00A0B291">
        <w:trPr>
          <w:tblHeader/>
          <w:jc w:val="center"/>
        </w:trPr>
        <w:tc>
          <w:tcPr>
            <w:tcW w:w="1642" w:type="dxa"/>
            <w:shd w:val="clear" w:color="auto" w:fill="2948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F889BE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zh-CN" w:eastAsia="zh-CN"/>
              </w:rPr>
              <w:t>节点</w:t>
            </w:r>
          </w:p>
          <w:p w14:paraId="214043BB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ru-RU"/>
              </w:rPr>
              <w:t>Узел</w:t>
            </w:r>
          </w:p>
        </w:tc>
        <w:tc>
          <w:tcPr>
            <w:tcW w:w="1310" w:type="dxa"/>
            <w:shd w:val="clear" w:color="auto" w:fill="2948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D3104C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zh-CN" w:eastAsia="zh-CN"/>
              </w:rPr>
              <w:t>类型</w:t>
            </w:r>
          </w:p>
          <w:p w14:paraId="413C04FF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ru-RU"/>
              </w:rPr>
              <w:t>Тип</w:t>
            </w:r>
          </w:p>
        </w:tc>
        <w:tc>
          <w:tcPr>
            <w:tcW w:w="3341" w:type="dxa"/>
            <w:shd w:val="clear" w:color="auto" w:fill="2948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A8401F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zh-CN" w:eastAsia="zh-CN"/>
              </w:rPr>
              <w:t>部署的组件与制品</w:t>
            </w:r>
          </w:p>
          <w:p w14:paraId="7A2C7963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ru-RU"/>
              </w:rPr>
              <w:t>Размещаемые компоненты / артефакты</w:t>
            </w:r>
          </w:p>
        </w:tc>
        <w:tc>
          <w:tcPr>
            <w:tcW w:w="2578" w:type="dxa"/>
            <w:shd w:val="clear" w:color="auto" w:fill="2948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95B92C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zh-CN" w:eastAsia="zh-CN"/>
              </w:rPr>
              <w:t>端口与协议</w:t>
            </w:r>
          </w:p>
          <w:p w14:paraId="24C3A9D1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ru-RU"/>
              </w:rPr>
              <w:t>Порты и протоколы</w:t>
            </w:r>
          </w:p>
        </w:tc>
        <w:tc>
          <w:tcPr>
            <w:tcW w:w="1642" w:type="dxa"/>
            <w:shd w:val="clear" w:color="auto" w:fill="29485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90AD0B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zh-CN" w:eastAsia="zh-CN"/>
              </w:rPr>
              <w:t>环境</w:t>
            </w:r>
          </w:p>
          <w:p w14:paraId="7580886C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/>
                <w:color w:val="FFFFFF"/>
                <w:sz w:val="19"/>
                <w:lang w:val="ru-RU"/>
              </w:rPr>
              <w:t>Среда</w:t>
            </w:r>
          </w:p>
        </w:tc>
      </w:tr>
      <w:tr w14:paraId="192324AD">
        <w:trPr>
          <w:cantSplit/>
          <w:jc w:val="center"/>
        </w:trPr>
        <w:tc>
          <w:tcPr>
            <w:tcW w:w="1642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FD4D26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N-01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学生或管理员终端</w:t>
            </w:r>
          </w:p>
          <w:p w14:paraId="24F952BE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Устройство студента или администратора</w:t>
            </w:r>
          </w:p>
        </w:tc>
        <w:tc>
          <w:tcPr>
            <w:tcW w:w="1310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3B0141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设备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电脑或手机</w:t>
            </w:r>
          </w:p>
          <w:p w14:paraId="6084CE19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Устройство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ПК или телефон</w:t>
            </w:r>
          </w:p>
        </w:tc>
        <w:tc>
          <w:tcPr>
            <w:tcW w:w="3341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CE87A3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浏览器执行 CMP-001 界面代码；从前端服务下载 HTML、JavaScript 和 CSS。</w:t>
            </w:r>
          </w:p>
          <w:p w14:paraId="60CA44B5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Браузер исполняет интерфейс CMP-001 и получает HTML, JavaScript и CSS от сервиса клиента.</w:t>
            </w:r>
          </w:p>
        </w:tc>
        <w:tc>
          <w:tcPr>
            <w:tcW w:w="2578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A5FB38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无固定入站服务端口。开发访问 HTTP 5173；本地容器访问 HTTP 8080；目标 HTTPS 443。</w:t>
            </w:r>
          </w:p>
          <w:p w14:paraId="2CC5FC5E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Постоянный входящий порт не нужен. HTTP 5173 при разработке, HTTP 8080 для локальных контейнеров, целевой HTTPS 443.</w:t>
            </w:r>
          </w:p>
        </w:tc>
        <w:tc>
          <w:tcPr>
            <w:tcW w:w="1642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2631EC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开发及目标使用端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 HTTPS 待部署</w:t>
            </w:r>
          </w:p>
          <w:p w14:paraId="1C7BCF9F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Клиент разработки и целевой среды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HTTPS ещё не развёрнут</w:t>
            </w:r>
          </w:p>
        </w:tc>
      </w:tr>
      <w:tr w14:paraId="09F78E5A">
        <w:trPr>
          <w:cantSplit/>
          <w:jc w:val="center"/>
        </w:trPr>
        <w:tc>
          <w:tcPr>
            <w:tcW w:w="1642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D42A65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N-02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本地开发工作站</w:t>
            </w:r>
          </w:p>
          <w:p w14:paraId="0AFF6751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Локальная рабочая станция</w:t>
            </w:r>
          </w:p>
        </w:tc>
        <w:tc>
          <w:tcPr>
            <w:tcW w:w="1310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B71626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设备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本地服务宿主</w:t>
            </w:r>
          </w:p>
          <w:p w14:paraId="6352623E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Устройство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Хост локальных сервисов</w:t>
            </w:r>
          </w:p>
        </w:tc>
        <w:tc>
          <w:tcPr>
            <w:tcW w:w="3341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99A91E4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Vite 提供 CMP-001；Uvicorn 运行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FastAPI 与 SQLAlchemy 基础层。SQLite 文件 backend/data/studyspace.db 随后端访问；业务模块待实现。</w:t>
            </w:r>
          </w:p>
          <w:p w14:paraId="2357014E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Vite обслуживает CMP-001; Uvicorn запускает FastAPI и основу SQLAlchemy. Сервер обращается к файлу backend/data/studyspace.db SQLite; бизнес-модули ещё не реализованы.</w:t>
            </w:r>
          </w:p>
        </w:tc>
        <w:tc>
          <w:tcPr>
            <w:tcW w:w="2578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CBE9F3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127.0.0.1:5173 HTTP；/api 代理至 127.0.0.1:8000，HTTP/JSON。SQLite 使用文件访问，无网络端口。</w:t>
            </w:r>
          </w:p>
          <w:p w14:paraId="139F2BAC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127.0.0.1:5173 HTTP; /api передаётся на 127.0.0.1:8000 по HTTP/JSON. SQLite использует файл без сетевого порта.</w:t>
            </w:r>
          </w:p>
        </w:tc>
        <w:tc>
          <w:tcPr>
            <w:tcW w:w="1642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47BD2E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development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现有启动配置</w:t>
            </w:r>
          </w:p>
          <w:p w14:paraId="67ECA322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development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Имеющаяся конфигурация запуска</w:t>
            </w:r>
          </w:p>
        </w:tc>
      </w:tr>
      <w:tr w14:paraId="240284B1">
        <w:trPr>
          <w:cantSplit/>
          <w:jc w:val="center"/>
        </w:trPr>
        <w:tc>
          <w:tcPr>
            <w:tcW w:w="1642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B7C823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N-03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前端静态服务</w:t>
            </w:r>
          </w:p>
          <w:p w14:paraId="0E34A959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Сервис статического клиента</w:t>
            </w:r>
          </w:p>
        </w:tc>
        <w:tc>
          <w:tcPr>
            <w:tcW w:w="1310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EC4D66A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容器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Nginx</w:t>
            </w:r>
          </w:p>
          <w:p w14:paraId="70E95C81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Контейнер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Nginx</w:t>
            </w:r>
          </w:p>
        </w:tc>
        <w:tc>
          <w:tcPr>
            <w:tcW w:w="3341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DBBC87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CMP-001 的分发制品：frontend/dist 中的 index.html 与 assets；镜像内位于 /usr/share/nginx/html。nginx.conf 配置静态服务和 /api/ 转发。</w:t>
            </w:r>
          </w:p>
          <w:p w14:paraId="6BF32819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Артефакты CMP-001: index.html и assets из frontend/dist, в образе — /usr/share/nginx/html. nginx.conf задаёт статику и прокси /api/.</w:t>
            </w:r>
          </w:p>
        </w:tc>
        <w:tc>
          <w:tcPr>
            <w:tcW w:w="2578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8B445A6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127.0.0.1:8080 → 80，HTTP。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/api/ → backend:8000，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HTTP/JSON。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目标由 Caddy 提供 HTTPS。</w:t>
            </w:r>
          </w:p>
          <w:p w14:paraId="22250BED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Локально 127.0.0.1:8080 → порт 80 контейнера, HTTP. /api/ → backend:8000, HTTP/JSON. В целевой схеме HTTPS предоставляет Caddy.</w:t>
            </w:r>
          </w:p>
        </w:tc>
        <w:tc>
          <w:tcPr>
            <w:tcW w:w="1642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B718BB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本地容器候选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配置已存在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目标部署待实施</w:t>
            </w:r>
          </w:p>
          <w:p w14:paraId="12017011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Локальный вариант контейнеров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Конфигурация есть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Целевое размещение впереди</w:t>
            </w:r>
          </w:p>
        </w:tc>
      </w:tr>
      <w:tr w14:paraId="06C73364">
        <w:trPr>
          <w:cantSplit/>
          <w:jc w:val="center"/>
        </w:trPr>
        <w:tc>
          <w:tcPr>
            <w:tcW w:w="1642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4F0FDD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N-04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后端应用服务</w:t>
            </w:r>
          </w:p>
          <w:p w14:paraId="3AE990DE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Сервис приложения</w:t>
            </w:r>
          </w:p>
        </w:tc>
        <w:tc>
          <w:tcPr>
            <w:tcW w:w="1310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5CC02E2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容器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Python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Uvicorn</w:t>
            </w:r>
          </w:p>
          <w:p w14:paraId="019AA67F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Контейнер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Python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Uvicorn</w:t>
            </w:r>
          </w:p>
        </w:tc>
        <w:tc>
          <w:tcPr>
            <w:tcW w:w="3341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0E27BF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backend/app 与依赖环境；FastAPI、Pydantic、同步 SQLAlchemy。CMP-002 至 CMP-008 为设计中的认证、审核、资源、查询、预约、统计及审计模块；CMP-009 的数据访问基础层已存在。</w:t>
            </w:r>
          </w:p>
          <w:p w14:paraId="2D495989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backend/app и зависимости; FastAPI, Pydantic, синхронный SQLAlchemy. CMP-002–CMP-008 проектируют аутентификацию, проверку, ресурсы, поиск, бронь, показатели и аудит; основа доступа CMP-009 уже есть.</w:t>
            </w:r>
          </w:p>
        </w:tc>
        <w:tc>
          <w:tcPr>
            <w:tcW w:w="2578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E03A84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容器 HTTP 8000；本地绑定 127.0.0.1:8000 → 8000。基础 API 为 /api/v1/health、ready、docs。内部模块为进程内调用。</w:t>
            </w:r>
          </w:p>
          <w:p w14:paraId="7A1BCE34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HTTP 8000 контейнера; локально 127.0.0.1:8000 → 8000. Базовые API: /api/v1/health, ready, docs. Вызовы внутренних модулей идут в одном процессе.</w:t>
            </w:r>
          </w:p>
        </w:tc>
        <w:tc>
          <w:tcPr>
            <w:tcW w:w="1642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03EDBFC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本地容器候选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APP_ENV=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development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业务待实现</w:t>
            </w:r>
          </w:p>
          <w:p w14:paraId="20DEB7C0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Локальный вариант контейнеров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APP_ENV=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development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Бизнес не реализован</w:t>
            </w:r>
          </w:p>
        </w:tc>
      </w:tr>
      <w:tr w14:paraId="4495FB47">
        <w:trPr>
          <w:cantSplit/>
          <w:jc w:val="center"/>
        </w:trPr>
        <w:tc>
          <w:tcPr>
            <w:tcW w:w="1642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727FED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N-05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HTTPS 入口</w:t>
            </w:r>
          </w:p>
          <w:p w14:paraId="380073CF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Вход HTTPS</w:t>
            </w:r>
          </w:p>
        </w:tc>
        <w:tc>
          <w:tcPr>
            <w:tcW w:w="1310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BF63F9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目标容器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Caddy</w:t>
            </w:r>
          </w:p>
          <w:p w14:paraId="30DA634C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Целевой контейнер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Caddy</w:t>
            </w:r>
          </w:p>
        </w:tc>
        <w:tc>
          <w:tcPr>
            <w:tcW w:w="3341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8B486C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目标制品为 Caddy 反向代理配置、证书及其持久存储；对接前端静态服务与 /api 路由。ADR-0004 已选定该技术方向。</w:t>
            </w:r>
          </w:p>
          <w:p w14:paraId="00FEA9D7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Целевые артефакты: конфигурация обратного прокси Caddy, сертификаты и постоянное хранилище; доступ к статике клиента и маршрутам /api. Направление выбрано ADR-0004.</w:t>
            </w:r>
          </w:p>
        </w:tc>
        <w:tc>
          <w:tcPr>
            <w:tcW w:w="2578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4B4496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 TCP 80 HTTP；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TCP 443 HTTPS/TLS。内部转发至前端 80 或后端 8000。具体路由与绑定随生产配置确定。</w:t>
            </w:r>
          </w:p>
          <w:p w14:paraId="0F8C80F9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Целевые TCP 80 HTTP и TCP 443 HTTPS/TLS; внутри — порт 80 клиента либо 8000 сервера. Маршруты и привязки определяются производственной конфигурацией.</w:t>
            </w:r>
          </w:p>
        </w:tc>
        <w:tc>
          <w:tcPr>
            <w:tcW w:w="1642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F9FDD03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目标部署方案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尚未执行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OPEN-010</w:t>
            </w:r>
          </w:p>
          <w:p w14:paraId="5CE5E0BE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Целевая схема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Не выполнено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OPEN-010</w:t>
            </w:r>
          </w:p>
        </w:tc>
      </w:tr>
      <w:tr w14:paraId="08B826D9">
        <w:trPr>
          <w:cantSplit/>
          <w:jc w:val="center"/>
        </w:trPr>
        <w:tc>
          <w:tcPr>
            <w:tcW w:w="1642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86B445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N-06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目标数据库服务</w:t>
            </w:r>
          </w:p>
          <w:p w14:paraId="77D13427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Целевой сервис БД</w:t>
            </w:r>
          </w:p>
        </w:tc>
        <w:tc>
          <w:tcPr>
            <w:tcW w:w="1310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5DA9770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目标容器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PostgreSQL</w:t>
            </w:r>
          </w:p>
          <w:p w14:paraId="536341D5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Целевой контейнер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PostgreSQL</w:t>
            </w:r>
          </w:p>
        </w:tc>
        <w:tc>
          <w:tcPr>
            <w:tcW w:w="3341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872743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承载业务数据库及持久数据卷。CMP-009 的 SQLAlchemy 层仍在 N-04，通过驱动访问此处数据；业务表与迁移待实现。</w:t>
            </w:r>
          </w:p>
          <w:p w14:paraId="2AF4FC0C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Размещает бизнес-БД и постоянный том. Слой SQLAlchemy CMP-009 остаётся в N-04 и обращается сюда через драйвер; бизнес-таблицы и миграции ещё предстоят.</w:t>
            </w:r>
          </w:p>
        </w:tc>
        <w:tc>
          <w:tcPr>
            <w:tcW w:w="2578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5B32A4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PostgreSQL/TCP，连接示例为 5432；目标为内部网络访问。最终服务名、端口及绑定待生产配置确定。</w:t>
            </w:r>
          </w:p>
          <w:p w14:paraId="70075C33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PostgreSQL/TCP, в примере порт 5432; целевой доступ — во внутренней сети. Имя сервиса, порт и привязки задаются при подготовке размещения.</w:t>
            </w:r>
          </w:p>
        </w:tc>
        <w:tc>
          <w:tcPr>
            <w:tcW w:w="1642" w:type="dxa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13FFE75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目标部署方案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当前 Compose 未包含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迁移未执行</w:t>
            </w:r>
          </w:p>
          <w:p w14:paraId="521B7AB6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Целевая схема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В текущем Compose отсутствует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Миграция не выполнена</w:t>
            </w:r>
          </w:p>
        </w:tc>
      </w:tr>
      <w:tr w14:paraId="1029EE00">
        <w:trPr>
          <w:cantSplit/>
          <w:jc w:val="center"/>
        </w:trPr>
        <w:tc>
          <w:tcPr>
            <w:tcW w:w="1642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51C798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N-07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学校核验来源</w:t>
            </w:r>
          </w:p>
          <w:p w14:paraId="79682F70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Источник проверки вуза</w:t>
            </w:r>
          </w:p>
        </w:tc>
        <w:tc>
          <w:tcPr>
            <w:tcW w:w="1310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F224C7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外部依赖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承载形式待定</w:t>
            </w:r>
          </w:p>
          <w:p w14:paraId="5DFC4DFB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Внешний источник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Тип уточняется</w:t>
            </w:r>
          </w:p>
        </w:tc>
        <w:tc>
          <w:tcPr>
            <w:tcW w:w="3341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3DEC97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CMP-010：学校确认的名单或平台，为管理员人工核验提供依据；学校负责维护。StudySpace 内部记录必要来源引用及审核决定。</w:t>
            </w:r>
          </w:p>
          <w:p w14:paraId="3C372403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CMP-010: подтверждённый вузом реестр или платформа для ручной проверки администратором; поддерживается вузом. StudySpace сохраняет необходимые ссылки и решение.</w:t>
            </w:r>
          </w:p>
        </w:tc>
        <w:tc>
          <w:tcPr>
            <w:tcW w:w="2578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5680DB">
            <w:pPr>
              <w:keepNext w:val="0"/>
              <w:widowControl/>
              <w:wordWrap w:val="0"/>
              <w:spacing w:after="8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IF-04 为人工核验依赖；具体渠道和端口待学校确认，未定义自动 API。</w:t>
            </w:r>
          </w:p>
          <w:p w14:paraId="0CCF225D">
            <w:pPr>
              <w:keepNext w:val="0"/>
              <w:widowControl/>
              <w:wordWrap w:val="0"/>
              <w:spacing w:after="0" w:line="250" w:lineRule="auto"/>
              <w:jc w:val="left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IF-04 — зависимость ручной проверки; канал и порты определяет вуз, автоматический API не определён.</w:t>
            </w:r>
          </w:p>
        </w:tc>
        <w:tc>
          <w:tcPr>
            <w:tcW w:w="1642" w:type="dxa"/>
            <w:shd w:val="clear" w:color="auto" w:fill="F0F4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A0A471">
            <w:pPr>
              <w:keepNext w:val="0"/>
              <w:widowControl/>
              <w:wordWrap w:val="0"/>
              <w:spacing w:after="8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学校外部环境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OPEN-003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zh-CN" w:eastAsia="zh-CN"/>
              </w:rPr>
              <w:t>PARTIAL</w:t>
            </w:r>
          </w:p>
          <w:p w14:paraId="56CC4106">
            <w:pPr>
              <w:keepNext w:val="0"/>
              <w:widowControl/>
              <w:wordWrap w:val="0"/>
              <w:spacing w:after="0" w:line="250" w:lineRule="auto"/>
              <w:jc w:val="center"/>
            </w:pP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Внешняя среда вуза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OPEN-003</w:t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br w:type="textWrapping"/>
            </w:r>
            <w:r>
              <w:rPr>
                <w:rFonts w:ascii="Arial" w:hAnsi="Arial" w:eastAsia="PingFang SC" w:cs="Arial"/>
                <w:b w:val="0"/>
                <w:color w:val="000000"/>
                <w:sz w:val="19"/>
                <w:lang w:val="ru-RU"/>
              </w:rPr>
              <w:t>PARTIAL</w:t>
            </w:r>
          </w:p>
        </w:tc>
      </w:tr>
    </w:tbl>
    <w:p w14:paraId="56F3FD58">
      <w:pPr>
        <w:spacing w:after="20"/>
      </w:pPr>
    </w:p>
    <w:p w14:paraId="496EC165">
      <w:pPr>
        <w:pStyle w:val="3"/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2 部署关系与状态说明</w:t>
      </w:r>
    </w:p>
    <w:p w14:paraId="143C20D7">
      <w:pPr>
        <w:pStyle w:val="3"/>
      </w:pPr>
      <w:r>
        <w:rPr>
          <w:rFonts w:ascii="Arial" w:hAnsi="Arial" w:eastAsia="PingFang SC" w:cs="Arial"/>
          <w:b w:val="0"/>
          <w:color w:val="000000"/>
          <w:lang w:val="ru-RU"/>
        </w:rPr>
        <w:t>2 Связи размещения и статусы</w:t>
      </w:r>
    </w:p>
    <w:p w14:paraId="49C089E3">
      <w:pPr>
        <w:pStyle w:val="4"/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2 1 节点与组件关系</w:t>
      </w:r>
    </w:p>
    <w:p w14:paraId="5012E543">
      <w:pPr>
        <w:pStyle w:val="4"/>
      </w:pPr>
      <w:r>
        <w:rPr>
          <w:rFonts w:ascii="Arial" w:hAnsi="Arial" w:eastAsia="PingFang SC" w:cs="Arial"/>
          <w:b w:val="0"/>
          <w:color w:val="000000"/>
          <w:lang w:val="ru-RU"/>
        </w:rPr>
        <w:t>2 1 Связь узлов и компонентов</w:t>
      </w:r>
    </w:p>
    <w:p w14:paraId="0589C445">
      <w:pPr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N-02 是直接启动方式，N-03 与 N-04 是另一种本地容器方式；它们不是必须同时运行的多套服务。CMP-001 由 N-03 分发并在 N-01 浏览器执行；CMP-002 至 CMP-009 在同一后端部署边界内，不为各业务模块单独增加服务端口。</w:t>
      </w:r>
    </w:p>
    <w:p w14:paraId="29331D68">
      <w:pPr>
        <w:keepLines/>
      </w:pPr>
      <w:r>
        <w:rPr>
          <w:rFonts w:ascii="Arial" w:hAnsi="Arial" w:eastAsia="PingFang SC" w:cs="Arial"/>
          <w:b w:val="0"/>
          <w:color w:val="000000"/>
          <w:lang w:val="ru-RU"/>
        </w:rPr>
        <w:t>N-02 — прямой локальный запуск, N-03 и N-04 — альтернативный запуск в контейнерах; одновременная работа обеих схем не требуется. CMP-001 раздаётся из N-03 и исполняется в браузере N-01; CMP-002–CMP-009 находятся в одной границе сервера без отдельных портов каждого модуля.</w:t>
      </w:r>
    </w:p>
    <w:p w14:paraId="2C089AC6">
      <w:pPr>
        <w:pStyle w:val="4"/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2 2 数据库制品与持久化</w:t>
      </w:r>
    </w:p>
    <w:p w14:paraId="7920BBA2">
      <w:pPr>
        <w:pStyle w:val="4"/>
      </w:pPr>
      <w:r>
        <w:rPr>
          <w:rFonts w:ascii="Arial" w:hAnsi="Arial" w:eastAsia="PingFang SC" w:cs="Arial"/>
          <w:b w:val="0"/>
          <w:color w:val="000000"/>
          <w:lang w:val="ru-RU"/>
        </w:rPr>
        <w:t>2 2 Артефакты БД и сохранение данных</w:t>
      </w:r>
    </w:p>
    <w:p w14:paraId="663C7360">
      <w:pPr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本地容器的 SQLite 文件为 /app/backend/data/studyspace.db，studyspace-data 卷挂载到 /app/backend/data；它是 N-04 内访问的文件制品，不是独立数据库服务器。目标 PostgreSQL 替代该存储方式，迁移、回滚、并发与恢复须分别验证；Alembic 尚待引入。</w:t>
      </w:r>
    </w:p>
    <w:p w14:paraId="3424FFED">
      <w:pPr>
        <w:keepLines/>
      </w:pPr>
      <w:r>
        <w:rPr>
          <w:rFonts w:ascii="Arial" w:hAnsi="Arial" w:eastAsia="PingFang SC" w:cs="Arial"/>
          <w:b w:val="0"/>
          <w:color w:val="000000"/>
          <w:lang w:val="ru-RU"/>
        </w:rPr>
        <w:t>Файл SQLite локального контейнера — /app/backend/data/studyspace.db; том studyspace-data подключён к /app/backend/data. Это файловый артефакт N-04, а не отдельный сервер БД. Целевой PostgreSQL заменяет эту схему; миграция, откат, конкуренция и восстановление проверяются отдельно, Alembic ещё предстоит добавить.</w:t>
      </w:r>
    </w:p>
    <w:p w14:paraId="6095B20D">
      <w:pPr>
        <w:pStyle w:val="4"/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2 3 环境与实施状态</w:t>
      </w:r>
    </w:p>
    <w:p w14:paraId="2819A414">
      <w:pPr>
        <w:pStyle w:val="4"/>
      </w:pPr>
      <w:r>
        <w:rPr>
          <w:rFonts w:ascii="Arial" w:hAnsi="Arial" w:eastAsia="PingFang SC" w:cs="Arial"/>
          <w:b w:val="0"/>
          <w:color w:val="000000"/>
          <w:lang w:val="ru-RU"/>
        </w:rPr>
        <w:t>2 3 Среда и состояние реализации</w:t>
      </w:r>
    </w:p>
    <w:p w14:paraId="0C9F2917">
      <w:pPr>
        <w:keepNext/>
      </w:pPr>
      <w:r>
        <w:rPr>
          <w:rFonts w:ascii="Arial" w:hAnsi="Arial" w:eastAsia="PingFang SC" w:cs="Arial"/>
          <w:b w:val="0"/>
          <w:color w:val="000000"/>
          <w:lang w:val="zh-CN" w:eastAsia="zh-CN"/>
        </w:rPr>
        <w:t>当前 Compose 为 development 的本地 HTTP 配置，不包含 Caddy 或 PostgreSQL。目标部署状态为 NOT_EXECUTED，服务器、域名与具体生产配置仍受 OPEN-010 约束。现有基础 API 不等于预约业务已完成；容器部署、HTTPS、数据库迁移与业务验收未据本表确认，业务用例保持 NOT_RUN。学校核验来源仍为 OPEN-003，不能据此假定已有 SSO 或自动 API。</w:t>
      </w:r>
    </w:p>
    <w:p w14:paraId="11196053">
      <w:pPr>
        <w:keepLines/>
      </w:pPr>
      <w:r>
        <w:rPr>
          <w:rFonts w:ascii="Arial" w:hAnsi="Arial" w:eastAsia="PingFang SC" w:cs="Arial"/>
          <w:b w:val="0"/>
          <w:color w:val="000000"/>
          <w:lang w:val="ru-RU"/>
        </w:rPr>
        <w:t>Текущий Compose — локальная конфигурация HTTP для development без Caddy и PostgreSQL. Статус целевого размещения NOT_EXECUTED; сервер, домен и производственная конфигурация связаны с OPEN-010. Базовые API не означают готовую бронь; таблица не подтверждает развёртывание контейнеров, HTTPS, миграцию или бизнес-приёмку, бизнес-кейсы остаются NOT_RUN. Источник вуза остаётся OPEN-003; готовые SSO и автоматический API не предполагаются.</w:t>
      </w:r>
      <w:bookmarkStart w:id="0" w:name="_GoBack"/>
      <w:bookmarkEnd w:id="0"/>
    </w:p>
    <w:sectPr>
      <w:pgSz w:w="12240" w:h="15840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7F8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Arial" w:hAnsi="Arial" w:eastAsia="PingFang SC" w:cs="Arial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2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6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StudySpace</dc:creator>
  <dc:description>generated by python-docx</dc:description>
  <cp:keywords>StudySpace, 中俄双语, узлы, артефакты, deployment</cp:keywords>
  <cp:lastModifiedBy>川一</cp:lastModifiedBy>
  <dcterms:modified xsi:type="dcterms:W3CDTF">2026-10-15T10:35:59Z</dcterms:modified>
  <dc:subject>任务 1 / Задание 1</dc:subject>
  <dc:title>StudySpace 节点与制品表 Узлы и артефакты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37E5E7DC1305E80F0F3CD06A87F77753_42</vt:lpwstr>
  </property>
</Properties>
</file>