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6F7D2">
      <w:pPr>
        <w:snapToGrid w:val="0"/>
        <w:spacing w:line="280" w:lineRule="exact"/>
        <w:jc w:val="left"/>
      </w:pPr>
      <w:r>
        <w:rPr>
          <w:rFonts w:ascii="Arial" w:hAnsi="Arial" w:eastAsia="PingFang SC"/>
          <w:b w:val="0"/>
          <w:color w:val="000000"/>
          <w:sz w:val="26"/>
        </w:rPr>
        <w:t>StudySpace Две записи архитектурных решений</w:t>
      </w:r>
    </w:p>
    <w:p w14:paraId="3BD2CCC1">
      <w:pPr>
        <w:snapToGrid w:val="0"/>
        <w:spacing w:line="280" w:lineRule="exact"/>
        <w:jc w:val="left"/>
      </w:pPr>
      <w:r>
        <w:rPr>
          <w:rFonts w:ascii="Arial" w:hAnsi="Arial" w:eastAsia="PingFang SC"/>
          <w:b w:val="0"/>
          <w:color w:val="000000"/>
          <w:sz w:val="18"/>
        </w:rPr>
        <w:t>任务 4  Задание 4  |  SS-ADR-T4-01  |  v1  |  2026-10-14</w:t>
      </w:r>
      <w:bookmarkStart w:id="0" w:name="_GoBack"/>
      <w:bookmarkEnd w:id="0"/>
    </w:p>
    <w:p w14:paraId="481B005A">
      <w:pPr>
        <w:snapToGrid w:val="0"/>
        <w:spacing w:line="280" w:lineRule="exact"/>
        <w:jc w:val="left"/>
      </w:pPr>
      <w:r>
        <w:rPr>
          <w:rFonts w:ascii="Arial" w:hAnsi="Arial" w:eastAsia="PingFang SC"/>
          <w:b w:val="0"/>
          <w:color w:val="000000"/>
          <w:sz w:val="20"/>
        </w:rPr>
        <w:t>两份 ADR 分别记录应用架构和数据库策略；ACCEPTED 表示项目已选定技术方案，DRAFT 表示课程文档仍待正式评审。</w:t>
      </w:r>
      <w:r>
        <w:rPr>
          <w:rFonts w:ascii="Arial" w:hAnsi="Arial" w:eastAsia="PingFang SC"/>
          <w:b w:val="0"/>
          <w:color w:val="000000"/>
          <w:sz w:val="20"/>
        </w:rPr>
        <w:br w:type="textWrapping"/>
      </w:r>
      <w:r>
        <w:rPr>
          <w:rFonts w:ascii="Arial" w:hAnsi="Arial" w:eastAsia="PingFang SC"/>
          <w:b w:val="0"/>
          <w:color w:val="000000"/>
          <w:sz w:val="20"/>
        </w:rPr>
        <w:t>Две ADR фиксируют архитектуру и стратегию БД; ACCEPTED означает выбранное техническое решение, DRAFT — документ до формального рассмотрения.</w:t>
      </w:r>
    </w:p>
    <w:tbl>
      <w:tblPr>
        <w:tblStyle w:val="32"/>
        <w:tblW w:w="14112" w:type="dxa"/>
        <w:tblInd w:w="11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5998"/>
        <w:gridCol w:w="5997"/>
      </w:tblGrid>
      <w:tr w14:paraId="2AFF1305">
        <w:trPr>
          <w:cantSplit/>
          <w:tblHeader/>
        </w:trPr>
        <w:tc>
          <w:tcPr>
            <w:tcW w:w="2117" w:type="dxa"/>
            <w:shd w:val="clear" w:color="auto" w:fill="DDEB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4E9186">
            <w:pPr>
              <w:keepNext w:val="0"/>
              <w:snapToGrid w:val="0"/>
              <w:spacing w:after="0" w:line="280" w:lineRule="exact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字段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Поле</w:t>
            </w:r>
          </w:p>
        </w:tc>
        <w:tc>
          <w:tcPr>
            <w:tcW w:w="5998" w:type="dxa"/>
            <w:shd w:val="clear" w:color="auto" w:fill="DDEB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96FEE">
            <w:pPr>
              <w:keepNext w:val="0"/>
              <w:snapToGrid w:val="0"/>
              <w:spacing w:after="0" w:line="280" w:lineRule="exact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2"/>
              </w:rPr>
              <w:t>ADR-0001</w:t>
            </w:r>
          </w:p>
        </w:tc>
        <w:tc>
          <w:tcPr>
            <w:tcW w:w="5997" w:type="dxa"/>
            <w:shd w:val="clear" w:color="auto" w:fill="DDEB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89B1C">
            <w:pPr>
              <w:keepNext w:val="0"/>
              <w:snapToGrid w:val="0"/>
              <w:spacing w:after="0" w:line="280" w:lineRule="exact"/>
              <w:jc w:val="center"/>
            </w:pPr>
            <w:r>
              <w:rPr>
                <w:rFonts w:ascii="Arial" w:hAnsi="Arial" w:eastAsia="PingFang SC"/>
                <w:b/>
                <w:color w:val="000000"/>
                <w:sz w:val="22"/>
              </w:rPr>
              <w:t>ADR-0002</w:t>
            </w:r>
          </w:p>
        </w:tc>
      </w:tr>
      <w:tr w14:paraId="0EDA0AE7">
        <w:trPr>
          <w:cantSplit/>
        </w:trPr>
        <w:tc>
          <w:tcPr>
            <w:tcW w:w="211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D6C614">
            <w:pPr>
              <w:keepNext w:val="0"/>
              <w:snapToGrid w:val="0"/>
              <w:spacing w:line="280" w:lineRule="exact"/>
              <w:jc w:val="left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名称与状态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Название и статус</w:t>
            </w:r>
          </w:p>
        </w:tc>
        <w:tc>
          <w:tcPr>
            <w:tcW w:w="599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E4F424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前后端分离的模块化单体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Клиент и модульный монолитный сервер</w:t>
            </w:r>
          </w:p>
          <w:p w14:paraId="71380A58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技术决策 ACCEPTED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文档状态 DRAFT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Техническое решение ACCEPTED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Документ DRAFT</w:t>
            </w:r>
          </w:p>
        </w:tc>
        <w:tc>
          <w:tcPr>
            <w:tcW w:w="599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584C07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SQLite 开发与 PostgreSQL 目标部署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SQLite для разработки и PostgreSQL для целевого развёртывания</w:t>
            </w:r>
          </w:p>
          <w:p w14:paraId="6234FB06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技术决策 ACCEPTED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文档状态 DRAFT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Техническое решение ACCEPTED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Документ DRAFT</w:t>
            </w:r>
          </w:p>
        </w:tc>
      </w:tr>
      <w:tr w14:paraId="6507AA49">
        <w:trPr>
          <w:cantSplit/>
        </w:trPr>
        <w:tc>
          <w:tcPr>
            <w:tcW w:w="2117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5BB895">
            <w:pPr>
              <w:keepNext w:val="0"/>
              <w:snapToGrid w:val="0"/>
              <w:spacing w:line="280" w:lineRule="exact"/>
              <w:jc w:val="left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背景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需求 约束 驱动因素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Контекст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требования ограничения силы</w:t>
            </w:r>
          </w:p>
        </w:tc>
        <w:tc>
          <w:tcPr>
            <w:tcW w:w="5998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85740D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四人课程团队需协作交付查询、校内审核和预约；系统要求三语界面、统一 API、可重复构建及服务端权限和事务校验，开发效率与运行复杂度影响选择。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Команда из четырёх участников создаёт поиск, проверку вуза и бронирование; нужны три языка, единый API, воспроизводимая сборка, серверные права и транзакции при приемлемой сложности разработки и запуска.</w:t>
            </w:r>
          </w:p>
          <w:p w14:paraId="05E7244E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0"/>
              </w:rPr>
              <w:t>需求 / Требования</w:t>
            </w:r>
            <w:r>
              <w:rPr>
                <w:rFonts w:ascii="Arial" w:hAnsi="Arial" w:eastAsia="PingFang SC"/>
                <w:b w:val="0"/>
                <w:color w:val="000000"/>
                <w:sz w:val="20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0"/>
              </w:rPr>
              <w:t>SP-C-005, SP-C-006, SP-NFR-001, SP-IF-001, SP-FR-004, SP-NFR-004</w:t>
            </w:r>
          </w:p>
        </w:tc>
        <w:tc>
          <w:tcPr>
            <w:tcW w:w="5997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48AED4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开发环境需便于本地启动；预约要求阻止同学生或同座位的时段重叠，并保持事务原子性、UTC 时间语义和迁移后数据关联，目标数据库需独立验证。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Нужен простой локальный запуск; бронь требует запрета пересечений студента и места, атомарности, семантики UTC и сохранения связей при миграции, целевая БД проверяется отдельно.</w:t>
            </w:r>
          </w:p>
          <w:p w14:paraId="3AA1413C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0"/>
              </w:rPr>
              <w:t>需求 / Требования</w:t>
            </w:r>
            <w:r>
              <w:rPr>
                <w:rFonts w:ascii="Arial" w:hAnsi="Arial" w:eastAsia="PingFang SC"/>
                <w:b w:val="0"/>
                <w:color w:val="000000"/>
                <w:sz w:val="20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0"/>
              </w:rPr>
              <w:t>SP-C-005, SP-C-001, SP-C-002, SP-NFR-004, SP-NFR-005, SP-TR-001, SP-DR-003</w:t>
            </w:r>
          </w:p>
        </w:tc>
      </w:tr>
      <w:tr w14:paraId="67EB2979">
        <w:trPr>
          <w:cantSplit/>
        </w:trPr>
        <w:tc>
          <w:tcPr>
            <w:tcW w:w="211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BB8535">
            <w:pPr>
              <w:keepNext w:val="0"/>
              <w:snapToGrid w:val="0"/>
              <w:spacing w:line="280" w:lineRule="exact"/>
              <w:jc w:val="left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决策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Решение</w:t>
            </w:r>
          </w:p>
        </w:tc>
        <w:tc>
          <w:tcPr>
            <w:tcW w:w="599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4B7F0A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沿用 React／TypeScript 浏览器客户端和 FastAPI 后端，经 JSON API 通信；后端按认证、审核、资源、预约和统计划分内部模块，保持单体部署。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Сохранить браузерный клиент React/TypeScript и сервер FastAPI с JSON API; внутри сервера выделить аутентификацию, проверку, ресурсы, бронирование и статистику при монолитном развёртывании.</w:t>
            </w:r>
          </w:p>
          <w:p w14:paraId="71FC76EB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Pydantic 校验输入，同步 SQLAlchemy 访问数据库；权限和预约冲突由服务端事务最终校验，uv/npm 锁定依赖。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Pydantic проверяет входы, синхронный SQLAlchemy обращается к БД; права и конфликты окончательно проверяются серверной транзакцией, зависимости фиксируются uv/npm.</w:t>
            </w:r>
          </w:p>
        </w:tc>
        <w:tc>
          <w:tcPr>
            <w:tcW w:w="599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C0E020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开发默认 SQLite，目标部署候选为 PostgreSQL，通过 SQLAlchemy 和 DATABASE_URL 统一访问与配置；首个业务实体前引入 Alembic。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В разработке использовать SQLite, кандидат для целевого развёртывания PostgreSQL; SQLAlchemy и DATABASE_URL задают общий доступ и конфигурацию, Alembic вводится до первой бизнес-сущности.</w:t>
            </w:r>
          </w:p>
          <w:p w14:paraId="7A9E878E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在两库分别验证迁移、回滚和预约并发；使用 [start,end) 区间，同一学生可有多条非重叠预约，创建与取消在服务端事务内完成。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На обеих БД отдельно проверить миграцию, откат и конкурентное бронирование; интервалы [start,end), несколько непересекающихся броней студента допустимы, создание и отмена выполняются серверной транзакцией.</w:t>
            </w:r>
          </w:p>
        </w:tc>
      </w:tr>
      <w:tr w14:paraId="7AE47FA2">
        <w:trPr>
          <w:cantSplit/>
        </w:trPr>
        <w:tc>
          <w:tcPr>
            <w:tcW w:w="2117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E3095F">
            <w:pPr>
              <w:keepNext w:val="0"/>
              <w:snapToGrid w:val="0"/>
              <w:spacing w:line="280" w:lineRule="exact"/>
              <w:jc w:val="left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后果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优点与缺点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Последствия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плюсы и минусы</w:t>
            </w:r>
          </w:p>
        </w:tc>
        <w:tc>
          <w:tcPr>
            <w:tcW w:w="5998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396B6D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优点 运行单元较少，业务模块可共享事务，便于四人团队开发、测试和交接。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Плюсы Меньше единиц запуска, общая транзакция для бизнес-модулей, проще разработка, проверка и передача небольшой командой.</w:t>
            </w:r>
          </w:p>
          <w:p w14:paraId="4AA7294C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缺点 前后端需同步 API 契约；后端故障可影响全部业务，模块间依赖需控制，独立扩缩容能力受限。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Минусы Нужно согласовывать API клиента и сервера; сбой сервера затрагивает весь бизнес, зависимости модулей требуют контроля, отдельное масштабирование ограничено.</w:t>
            </w:r>
          </w:p>
        </w:tc>
        <w:tc>
          <w:tcPr>
            <w:tcW w:w="5997" w:type="dxa"/>
            <w:shd w:val="clear" w:color="auto" w:fill="F4F7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4E0B2A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优点 简化本地开发，同时保留目标数据库迁移路径和统一数据访问层。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Плюсы Простой локальный запуск с сохранением пути к целевой БД и общего слоя доступа к данным.</w:t>
            </w:r>
          </w:p>
          <w:p w14:paraId="57F8062C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缺点 需维护两库的迁移与测试；ORM 不替代事务、约束和时区验证，上线前还需备份恢复演练。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Минусы Нужны миграции и проверки обеих БД; ORM не заменяет проверку транзакций, ограничений и времени, до запуска требуется восстановление из резервной копии.</w:t>
            </w:r>
          </w:p>
        </w:tc>
      </w:tr>
      <w:tr w14:paraId="5BD0FFA4">
        <w:trPr>
          <w:cantSplit/>
        </w:trPr>
        <w:tc>
          <w:tcPr>
            <w:tcW w:w="211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76A61A">
            <w:pPr>
              <w:keepNext w:val="0"/>
              <w:snapToGrid w:val="0"/>
              <w:spacing w:line="280" w:lineRule="exact"/>
              <w:jc w:val="left"/>
            </w:pPr>
            <w:r>
              <w:rPr>
                <w:rFonts w:ascii="Arial" w:hAnsi="Arial" w:eastAsia="PingFang SC"/>
                <w:b/>
                <w:color w:val="000000"/>
                <w:sz w:val="21"/>
              </w:rPr>
              <w:t>替代方案及放弃原因</w:t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br w:type="textWrapping"/>
            </w:r>
            <w:r>
              <w:rPr>
                <w:rFonts w:ascii="Arial" w:hAnsi="Arial" w:eastAsia="PingFang SC"/>
                <w:b/>
                <w:color w:val="000000"/>
                <w:sz w:val="21"/>
              </w:rPr>
              <w:t>Альтернативы и причины отказа</w:t>
            </w:r>
          </w:p>
        </w:tc>
        <w:tc>
          <w:tcPr>
            <w:tcW w:w="5998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4AE13D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微服务 可独立部署和扩缩容，但增加接口、部署及跨服务一致性成本，本次课程范围不采纳。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Микросервисы дают отдельное развёртывание и масштабирование, но усложняют интерфейсы, запуск и согласованность между сервисами; для текущего курса не выбраны.</w:t>
            </w:r>
          </w:p>
          <w:p w14:paraId="0240381E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单一全栈框架 可减少前后端衔接工作，但需改造已建 React/FastAPI 骨架，本次保留现有技术基础。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Один full-stack фреймворк уменьшает связующую работу, но требует переделки каркаса React/FastAPI; в этом выпуске сохранена имеющаяся основа.</w:t>
            </w:r>
          </w:p>
        </w:tc>
        <w:tc>
          <w:tcPr>
            <w:tcW w:w="599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AC5F69">
            <w:pPr>
              <w:keepNext w:val="0"/>
              <w:snapToGrid w:val="0"/>
              <w:spacing w:after="8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全程仅 SQLite 配置简单，但不覆盖已选择的 PostgreSQL 目标环境及其并发、迁移验证，因此不作为唯一方案。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Только SQLite упрощает настройку, но не покрывает выбранную целевую среду PostgreSQL и её проверки конкуренции и миграции; не выбран единственным вариантом.</w:t>
            </w:r>
          </w:p>
          <w:p w14:paraId="1D4B7F37">
            <w:pPr>
              <w:keepNext w:val="0"/>
              <w:snapToGrid w:val="0"/>
              <w:spacing w:after="0" w:line="280" w:lineRule="exact"/>
              <w:jc w:val="left"/>
            </w:pP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全程仅 PostgreSQL 可减少两库差异，但为每位成员的基础本地运行增加数据库服务依赖，本阶段保留 SQLite 开发入口。</w:t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br w:type="textWrapping"/>
            </w:r>
            <w:r>
              <w:rPr>
                <w:rFonts w:ascii="Arial" w:hAnsi="Arial" w:eastAsia="PingFang SC"/>
                <w:b w:val="0"/>
                <w:color w:val="000000"/>
                <w:sz w:val="22"/>
              </w:rPr>
              <w:t>Только PostgreSQL сокращает различия БД, но добавляет зависимость от сервиса БД для базового локального запуска каждого участника; на этом этапе сохранён вход через SQLite.</w:t>
            </w:r>
          </w:p>
        </w:tc>
      </w:tr>
    </w:tbl>
    <w:p w14:paraId="482EDAD2">
      <w:pPr>
        <w:pStyle w:val="3"/>
      </w:pPr>
      <w:r>
        <w:t>复查条件  Условия пересмотра</w:t>
      </w:r>
    </w:p>
    <w:p w14:paraId="5CF989AA">
      <w:pPr>
        <w:snapToGrid w:val="0"/>
        <w:spacing w:line="280" w:lineRule="exact"/>
        <w:jc w:val="left"/>
      </w:pPr>
      <w:r>
        <w:rPr>
          <w:rFonts w:ascii="Arial" w:hAnsi="Arial" w:eastAsia="PingFang SC"/>
          <w:b w:val="0"/>
          <w:color w:val="000000"/>
          <w:sz w:val="20"/>
        </w:rPr>
        <w:t>学校核验来源 OPEN-003、课程条件 OPEN-008 和部署环境 OPEN-010 明确，或业务模型、负载及模块边界变化时复查；迁移、并发、恢复和业务验收分别保存实际证据。</w:t>
      </w:r>
      <w:r>
        <w:rPr>
          <w:rFonts w:ascii="Arial" w:hAnsi="Arial" w:eastAsia="PingFang SC"/>
          <w:b w:val="0"/>
          <w:color w:val="000000"/>
          <w:sz w:val="20"/>
        </w:rPr>
        <w:br w:type="textWrapping"/>
      </w:r>
      <w:r>
        <w:rPr>
          <w:rFonts w:ascii="Arial" w:hAnsi="Arial" w:eastAsia="PingFang SC"/>
          <w:b w:val="0"/>
          <w:color w:val="000000"/>
          <w:sz w:val="20"/>
        </w:rPr>
        <w:t>Пересмотреть после определения источника вуза OPEN-003, условий курса OPEN-008 и среды OPEN-010 либо изменения модели, нагрузки и границ модулей; миграция, конкуренция, восстановление и бизнес-приёмка требуют отдельных свидетельств.</w:t>
      </w:r>
    </w:p>
    <w:p w14:paraId="6355DA2D">
      <w:pPr>
        <w:pStyle w:val="3"/>
      </w:pPr>
      <w:r>
        <w:t>来源  Источники</w:t>
      </w:r>
    </w:p>
    <w:p w14:paraId="25777F44">
      <w:pPr>
        <w:snapToGrid w:val="0"/>
        <w:spacing w:line="280" w:lineRule="exact"/>
        <w:jc w:val="left"/>
      </w:pPr>
      <w:r>
        <w:rPr>
          <w:rFonts w:ascii="Arial" w:hAnsi="Arial" w:eastAsia="PingFang SC"/>
          <w:b w:val="0"/>
          <w:color w:val="000000"/>
          <w:sz w:val="18"/>
        </w:rPr>
        <w:t>既有 ADR-0001、ADR-0002；DOC-04 系统设计 0.3.0；DEC-001、DEC-015、DEC-016、DEC-017；课堂需求登记 v0.2。</w:t>
      </w:r>
      <w:r>
        <w:rPr>
          <w:rFonts w:ascii="Arial" w:hAnsi="Arial" w:eastAsia="PingFang SC"/>
          <w:b w:val="0"/>
          <w:color w:val="000000"/>
          <w:sz w:val="18"/>
        </w:rPr>
        <w:br w:type="textWrapping"/>
      </w:r>
      <w:r>
        <w:rPr>
          <w:rFonts w:ascii="Arial" w:hAnsi="Arial" w:eastAsia="PingFang SC"/>
          <w:b w:val="0"/>
          <w:color w:val="000000"/>
          <w:sz w:val="18"/>
        </w:rPr>
        <w:t>Исходные ADR-0001 и ADR-0002; DOC-04 проект системы 0.3.0; DEC-001, DEC-015, DEC-016, DEC-017; учебный реестр требований v0.2.</w:t>
      </w:r>
    </w:p>
    <w:sectPr>
      <w:pgSz w:w="15840" w:h="12240" w:orient="landscape"/>
      <w:pgMar w:top="792" w:right="864" w:bottom="792" w:left="86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FFC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0" w:lineRule="exact"/>
    </w:pPr>
    <w:rPr>
      <w:rFonts w:ascii="Arial" w:hAnsi="Arial" w:eastAsia="PingFang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80" w:after="80"/>
      <w:outlineLvl w:val="0"/>
    </w:pPr>
    <w:rPr>
      <w:rFonts w:ascii="Arial" w:hAnsi="Arial" w:eastAsia="PingFang SC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Arial" w:hAnsi="Arial" w:eastAsia="PingFang SC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60" w:line="240" w:lineRule="auto"/>
      <w:contextualSpacing/>
    </w:pPr>
    <w:rPr>
      <w:rFonts w:ascii="Arial" w:hAnsi="Arial" w:eastAsia="PingFang SC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StudySpace</dc:creator>
  <dc:description>generated by python-docx</dc:description>
  <cp:lastModifiedBy>川一</cp:lastModifiedBy>
  <dcterms:modified xsi:type="dcterms:W3CDTF">2026-10-14T17:51:00Z</dcterms:modified>
  <dc:subject>任务4 五字段三列ADR对照表</dc:subject>
  <dc:title>StudySpace 两份架构决策记录 Две ADR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8B66D52CC9B2997C8450CF6AF8A83801_42</vt:lpwstr>
  </property>
</Properties>
</file>