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PingFang SC"/>
          <w:b/>
          <w:color w:val="000000"/>
          <w:sz w:val="36"/>
        </w:rPr>
        <w:t>StudySpace 组件图</w:t>
        <w:br/>
        <w:t>StudySpace Диаграмма компонентов</w:t>
      </w:r>
    </w:p>
    <w:p>
      <w:r>
        <w:rPr>
          <w:rFonts w:ascii="Arial" w:hAnsi="Arial" w:cs="Arial" w:eastAsia="PingFang SC"/>
          <w:b w:val="0"/>
          <w:color w:val="000000"/>
          <w:sz w:val="18"/>
        </w:rPr>
        <w:t>Doc-ID SS-ARCH-02  |  v1  |  2026-10-14  |  DRAFT</w:t>
      </w:r>
    </w:p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任务 2 组件图</w:t>
        <w:br/>
        <w:t>Задание 2 Диаграмма компонентов</w:t>
      </w:r>
    </w:p>
    <w:p>
      <w:r>
        <w:rPr>
          <w:rFonts w:ascii="Arial" w:hAnsi="Arial" w:cs="Arial" w:eastAsia="PingFang SC"/>
          <w:b w:val="0"/>
          <w:color w:val="000000"/>
          <w:sz w:val="21"/>
        </w:rPr>
        <w:t>组件图沿用任务 1 的 CMP-001 至 CMP-010，展示用户界面、内部模块和外部学校核验来源的边界，并以 IF-01 至 IF-10 标注连接及数据。</w:t>
        <w:br/>
        <w:t>Диаграмма сохраняет CMP-001…CMP-010 задания 1, показывает границы интерфейса, внутренних модулей и источника вуза, а IF-01…IF-10 обозначают связи и данные.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7030"/>
        <w:gridCol w:w="7370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步骤</w:t>
              <w:br/>
              <w:t>Шаг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课件要求</w:t>
              <w:br/>
              <w:t>Требование слайда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完成情况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先在纸上或白板画草图，用户界面在左，外部系统在右。</w:t>
              <w:br/>
              <w:t>Набросать схему на бумаге или доске: интерфейс слева, внешние системы справа.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可编辑文件第 1 页保留数字草图。</w:t>
              <w:br/>
              <w:t>Первая страница редактируемого файла сохраняет цифровой черновик.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转入 Simentech 或同类绘图工具。</w:t>
              <w:br/>
              <w:t>Перенести в Simentech или аналогичный инструмент.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使用本机 draw.io 29.6.6，保留草图与正式图两个页签。</w:t>
              <w:br/>
              <w:t>Используется установленный draw.io 29.6.6 с вкладками черновика и итоговой схемы.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连接注明通信协议或传递的数据。</w:t>
              <w:br/>
              <w:t>Подписать связи: протокол или передаваемые данные.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图内 IF-01…IF-10 均有协议或数据标注，完整语义见连接说明表。</w:t>
              <w:br/>
              <w:t>IF-01…IF-10 подписаны протоколом или данными; полная семантика приведена в таблице связей.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添加图名及图的说明。</w:t>
              <w:br/>
              <w:t>Добавить название и пояснение.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包含图名、系统边界、组件符号、连接图例及预约事务说明。</w:t>
              <w:br/>
              <w:t>Добавлены название, границы, обозначения компонентов, легенда и пояснение транзакции.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按组件图要求表检查。</w:t>
              <w:br/>
              <w:t>Проверить по таблице требований к диаграмме.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完成可见要求与项目规则自查；教师原检查表未提供，逐项比对待补充。</w:t>
              <w:br/>
              <w:t>Видимые требования и правила проекта проверены; исходная таблица преподавателя не предоставлена, сверка ожидается.</w:t>
            </w:r>
          </w:p>
        </w:tc>
      </w:tr>
    </w:tbl>
    <w:p>
      <w:pPr>
        <w:pageBreakBefore/>
        <w:spacing w:line="240" w:lineRule="auto" w:after="40"/>
      </w:pPr>
      <w:r>
        <w:drawing>
          <wp:inline xmlns:a="http://schemas.openxmlformats.org/drawingml/2006/main" xmlns:pic="http://schemas.openxmlformats.org/drawingml/2006/picture">
            <wp:extent cx="9468000" cy="6232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pace_组件图_课堂任务2_中俄双语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623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00" w:lineRule="exact"/>
      </w:pPr>
      <w:r>
        <w:rPr>
          <w:rFonts w:ascii="Arial" w:hAnsi="Arial" w:cs="Arial" w:eastAsia="PingFang SC"/>
          <w:b w:val="0"/>
          <w:color w:val="000000"/>
          <w:sz w:val="18"/>
        </w:rPr>
        <w:t>图 1 StudySpace 最小可行版本的逻辑组件及连接，候选设计状态 DRAFT。</w:t>
        <w:br/>
        <w:t>Рисунок 1 Логические компоненты и связи MVP StudySpace, кандидат проекта DRAFT.</w:t>
      </w:r>
    </w:p>
    <w:p>
      <w:pPr>
        <w:pStyle w:val="Heading1"/>
        <w:pageBreakBefore/>
      </w:pPr>
      <w:r>
        <w:rPr>
          <w:rFonts w:ascii="Arial" w:hAnsi="Arial" w:cs="Arial" w:eastAsia="PingFang SC"/>
          <w:b/>
          <w:color w:val="000000"/>
          <w:sz w:val="26"/>
        </w:rPr>
        <w:t>连接与数据说明</w:t>
        <w:br/>
        <w:t>Связи и передаваемые данные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协议和数据结构是本次组件设计候选，尚不表示业务 API 已实现；内部箭头表示同一 FastAPI 单体内的调用与协作。</w:t>
        <w:br/>
        <w:t>Протоколы и структуры — кандидаты текущего проекта, а не реализованные бизнес-API; внутренние стрелки означают вызовы и взаимодействие в одном монолите FastAPI.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515"/>
        <w:gridCol w:w="7540"/>
        <w:gridCol w:w="3061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连接 ID</w:t>
              <w:br/>
              <w:t>ID связи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调用或协作组件</w:t>
              <w:br/>
              <w:t>Компоненты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协议与数据</w:t>
              <w:br/>
              <w:t>Протокол и данные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需求或前提来源</w:t>
              <w:br/>
              <w:t>Требования и условия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CMP-001</w:t>
              <w:br/>
              <w:t>→ CMP-002, CMP-003, CMP-004, CMP-005, CMP-006, CMP-007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HTTPS / JSON；请求携带凭据或会话信息及业务输入，响应返回结果、记录或错误；本地开发可用 HTTP。</w:t>
              <w:br/>
              <w:t>HTTPS / JSON: запрос содержит данные входа или сессии и бизнес-поля; ответ возвращает результат, записи или ошибку; локальная разработка допускает HTTP.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SP-IF-001, SP-FR-004, SP-NFR-010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  <w:br/>
              <w:t>→ CMP-002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进程内同步调用；user_id、角色、账号启停状态，用于服务端授权；不向其他模块传递原始密码。</w:t>
              <w:br/>
              <w:t>Синхронный вызов в процессе: user_id, роль и активность аккаунта для серверной авторизации; исходный пароль другим модулям не передаётся.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SP-FR-004, SP-NFR-003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CMP-006, CMP-003</w:t>
              <w:br/>
              <w:t>→ CMP-003, CMP-006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进程内双向协作；预约检查 VERIFIED 和账号状态，资格变更协调取消未结束预约并共享同一事务。</w:t>
              <w:br/>
              <w:t>Взаимодействие в процессе: бронирование проверяет VERIFIED и активность, изменение допуска координирует отмену незавершённых записей в общей транзакции.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SP-FR-020, SP-FR-021, SP-FR-022, SP-NFR-004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CMP-003</w:t>
              <w:br/>
              <w:t>→ CMP-010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人工核验依赖；管理员经学校确认渠道复核身份，只在内部记录来源类型、引用及审核决定；不是已存在的自动 API。</w:t>
              <w:br/>
              <w:t>Зависимость ручной проверки: администратор сверяет личность по подтверждённому вузом каналу; внутри сохраняет тип источника, ссылку и решение; готовый автоматический API не предполагается.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SP-IF-002, SP-FR-022, SP-DR-001, OPEN-003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CMP-005</w:t>
              <w:br/>
              <w:t>→ CMP-004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进程内同步调用；位置、room_id、seat_id、业务日期与开放窗口；可用性还通过 IF-10 读取有效预约。</w:t>
              <w:br/>
              <w:t>Синхронный вызов в процессе: расположение, room_id, seat_id, деловая дата и часы; доступность также читает действующие записи через IF-10.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SP-FR-005, SP-FR-006, SP-FR-007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CMP-006, CMP-004</w:t>
              <w:br/>
              <w:t>→ CMP-004, CMP-006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进程内双向协作；预约读取开放与时间规则，资源关闭传递受影响资源和时段并原子取消相关未结束预约。</w:t>
              <w:br/>
              <w:t>Взаимодействие в процессе: бронирование читает часы и временные правила, закрытие передаёт затронутые ресурсы и интервалы и атомарно отменяет незавершённые записи.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SP-FR-016, SP-FR-017, SP-FR-018, SP-NFR-004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CMP-006</w:t>
              <w:br/>
              <w:t>→ CMP-008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进程内同步调用；预约 ID、操作人 ID、event_at、动作及取消原因，在同一事务保存业务事件。</w:t>
              <w:br/>
              <w:t>Синхронный вызов в процессе: ID записи и автора, event_at, действие и причина отмены; бизнес-событие сохраняется в той же транзакции.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SP-FR-011, SP-FR-012, SP-NFR-004, SP-DR-002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CMP-003</w:t>
              <w:br/>
              <w:t>→ CMP-008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进程内同步调用；UserID、审核人、状态、event_at 和来源引用，不在审核事件中复制原始身份或证明影像。</w:t>
              <w:br/>
              <w:t>Синхронный вызов в процессе: UserID, автор проверки, статус, event_at и ссылка; исходные идентификационные данные и изображения не копируются в событие проверки.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SP-FR-022, SP-NFR-003, SP-DR-001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CMP-007</w:t>
              <w:br/>
              <w:t>→ CMP-009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进程内同步调用；权限范围、过滤条件、业务日期 D 和 as_of，返回本人或授权管理记录及创建、取消、未结束三项计数。</w:t>
              <w:br/>
              <w:t>Синхронный вызов в процессе: права, фильтры, деловая дата D и as_of; возвращаются свои либо разрешённые административные записи и три показателя.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SP-FR-013, SP-FR-019, SP-FR-023, SP-FR-024, SP-FR-025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IF-10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CMP-002, CMP-003, CMP-004, CMP-005, CMP-006, CMP-007, CMP-008</w:t>
              <w:br/>
              <w:t>→ CMP-009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进程内 SQLAlchemy 数据访问与 SQL 事务；保存或读取账号、资源、预约和事件，提供约束与锁；开发 SQLite，部署候选 PostgreSQL。</w:t>
              <w:br/>
              <w:t>Доступ SQLAlchemy в процессе и SQL-транзакции: чтение и сохранение аккаунтов, ресурсов, записей и событий с ограничениями и блокировками; SQLite разработки, PostgreSQL как кандидат размещения.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SP-NFR-004, SP-NFR-005, SP-DR-001, SP-C-005</w:t>
            </w:r>
          </w:p>
        </w:tc>
      </w:tr>
    </w:tbl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关键设计说明</w:t>
        <w:br/>
        <w:t>Ключевые пояснения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每条预约只涉及一个座位；同学生或同座位的有效预约按 [start,end) 检查重叠，相邻和多条非重叠预约允许。查询结果仅供选择，提交时必须在服务端重新校验。</w:t>
        <w:br/>
        <w:t>Каждая запись относится к одному месту; пересечения студента или места проверяются по [start,end), соседние и несколько непересекающихся записей допустимы; результат поиска служит выбору, при отправке сервер повторяет проверки.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创建、取消、停用账号和关闭资源由同一事务协调；CMP-006 的冲突检查、锁后时刻判定、写入与必要事件记录须原子完成。IF-10 是 CMP-002…CMP-008 的共同存储依赖汇总，不代表新增组件或独立服务。</w:t>
        <w:br/>
        <w:t>Создание, отмена, отключение аккаунта и закрытие ресурса координируются общей транзакцией; проверки CMP-006 после блокировок, запись и необходимые события атомарны; IF-10 обобщает зависимость CMP-002…CMP-008 от хранилища, без нового компонента или отдельного сервиса.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CMP-010 是学校控制的外部核验来源，IF-04 用虚线表示人工核验依赖；真实渠道仍由 OPEN-003 确认，无可信来源不得批准 VERIFIED。</w:t>
        <w:br/>
        <w:t>CMP-010 — контролируемый вузом внешний источник, пунктир IF-04 означает ручную проверку; фактический канал уточняется в OPEN-003, без доверенного источника VERIFIED запрещён.</w:t>
      </w:r>
    </w:p>
    <w:p>
      <w:r>
        <w:rPr>
          <w:rFonts w:ascii="Arial" w:hAnsi="Arial" w:cs="Arial" w:eastAsia="PingFang SC"/>
          <w:b w:val="0"/>
          <w:color w:val="000000"/>
          <w:sz w:val="20"/>
        </w:rPr>
        <w:t>提醒、QR 签到、违约和实际使用率属于后续版本；本图不把它们纳入 MVP，三项基础统计也不代表真实到场。业务实现与业务测试仍未完成，NOT_RUN。</w:t>
        <w:br/>
        <w:t>Напоминания, QR-отметка, нарушения и фактическая загрузка относятся к следующим выпускам; они вне MVP, три базовых показателя не означают присутствие; бизнес-реализация и тесты не завершены, NOT_RUN.</w:t>
      </w:r>
    </w:p>
    <w:p>
      <w:pPr>
        <w:pStyle w:val="Heading1"/>
      </w:pPr>
      <w:r>
        <w:rPr>
          <w:rFonts w:ascii="Arial" w:hAnsi="Arial" w:cs="Arial" w:eastAsia="PingFang SC"/>
          <w:b/>
          <w:color w:val="000000"/>
          <w:sz w:val="26"/>
        </w:rPr>
        <w:t>可见要求与项目规则自查</w:t>
        <w:br/>
        <w:t>Самопроверка видимых требований и правил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9468"/>
        <w:gridCol w:w="1701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检查项</w:t>
              <w:br/>
              <w:t>Критерий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核对依据</w:t>
              <w:br/>
              <w:t>Свидетельство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DFE9F2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/>
                <w:color w:val="000000"/>
                <w:sz w:val="19"/>
              </w:rPr>
              <w:t>状态</w:t>
              <w:br/>
              <w:t>Статус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界面在左 外部系统在右</w:t>
              <w:br/>
              <w:t>Интерфейс слева внешняя система справа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CMP-001 在左，CMP-010 在系统边界外右侧。</w:t>
              <w:br/>
              <w:t>CMP-001 слева, CMP-010 справа вне границы системы.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全部候选组件可追溯</w:t>
              <w:br/>
              <w:t>Все кандидаты трассируются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与任务 1 保持同样的 10 个 CMP 编号与名称。</w:t>
              <w:br/>
              <w:t>Сохранены те же 10 ID CMP и названия задания 1.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系统边界和单体边界清晰</w:t>
              <w:br/>
              <w:t>Границы системы и монолита ясны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9 个内部组件在系统边界内，外部人工核验来源单独标注。</w:t>
              <w:br/>
              <w:t>9 внутренних компонентов находятся в системе, внешний источник отмечен отдельно.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连接协议或数据已标注</w:t>
              <w:br/>
              <w:t>Связи подписаны протоколом или данными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10 个 IF 标注有 HTTPS、JSON、标识、状态、事件或 SQL 数据契约。</w:t>
              <w:br/>
              <w:t>10 IF подписаны HTTPS, JSON, идентификаторами, статусом, событиями либо SQL.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有名称和解释</w:t>
              <w:br/>
              <w:t>Есть название и пояснение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提供名称、图例、连接说明和关键事务说明。</w:t>
              <w:br/>
              <w:t>Добавлены название, легенда, таблица связей и пояснение транзакций.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可在绘图工具编辑</w:t>
              <w:br/>
              <w:t>Редактируется в инструменте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交付 .drawio 源文件，含数字草图与正式图。</w:t>
              <w:br/>
              <w:t>Передаётся .drawio с цифровым черновиком и итоговой схемой.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预约与数据规则保持一致</w:t>
              <w:br/>
              <w:t>Правила записей и данных согласованы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保持非重叠多预约、服务端事务、人工核验和最少必要数据策略。</w:t>
              <w:br/>
              <w:t>Сохранены несколько непересекающихся записей, серверные транзакции, ручная проверка и минимизация данных.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中俄上下对应</w:t>
              <w:br/>
              <w:t>Китайский и русский попарно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正文及同一单元格均中文在上、俄语在下。</w:t>
              <w:br/>
              <w:t>В тексте и одной ячейке китайский расположен над русским.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5F7FA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教师原检查表逐项比对</w:t>
              <w:br/>
              <w:t>Сверка с исходной таблицей преподавателя</w:t>
            </w:r>
          </w:p>
        </w:tc>
        <w:tc>
          <w:tcPr>
            <w:tcW w:type="dxa" w:w="9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照片未包含该表，未提供其内容；本自查表只依据可见任务和项目规则。</w:t>
              <w:br/>
              <w:t>Таблица отсутствует на фото и не предоставлена; самопроверка основана на видимой задаче и правилах проекта.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40" w:lineRule="exact" w:after="0" w:before="0"/>
            </w:pPr>
            <w:r>
              <w:rPr>
                <w:rFonts w:ascii="Arial" w:hAnsi="Arial" w:cs="Arial" w:eastAsia="PingFang SC"/>
                <w:b w:val="0"/>
                <w:color w:val="000000"/>
                <w:sz w:val="19"/>
              </w:rPr>
              <w:t>PARTIAL</w:t>
            </w:r>
          </w:p>
        </w:tc>
      </w:tr>
    </w:tbl>
    <w:p>
      <w:r>
        <w:rPr>
          <w:rFonts w:ascii="Arial" w:hAnsi="Arial" w:cs="Arial" w:eastAsia="PingFang SC"/>
          <w:b w:val="0"/>
          <w:color w:val="000000"/>
          <w:sz w:val="18"/>
        </w:rPr>
        <w:t>来源为课堂任务 2 图片、任务 1 组件候选文档、需求登记 v0.2、系统设计 0.3.0、DEC-016 与 OPEN-003；这份自查不代表教师验收。</w:t>
        <w:br/>
        <w:t>Источники: фото задания 2, документ кандидатов задания 1, реестр v0.2, проект 0.3.0, DEC-016 и OPEN-003; самопроверка не означает приёмку преподавателем.</w:t>
      </w:r>
    </w:p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0" w:lineRule="exact"/>
    </w:pPr>
    <w:rPr>
      <w:rFonts w:ascii="Arial" w:hAnsi="Arial"/>
      <w:color w:val="000000"/>
      <w:sz w:val="21"/>
      <w:rFonts w:ascii="Arial" w:hAnsi="Arial" w:cs="Arial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  <w:rFonts w:ascii="Arial" w:hAnsi="Arial" w:cs="Arial"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rFonts w:ascii="Arial" w:hAnsi="Arial" w:cs="Arial"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  <w:rFonts w:ascii="Arial" w:hAnsi="Arial" w:cs="Arial" w:eastAsia="PingFang SC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80" w:lineRule="exact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rFonts w:ascii="Arial" w:hAnsi="Arial" w:cs="Arial" w:eastAsia="PingFang SC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组件图 Диаграмма компонентов</dc:title>
  <dc:subject>课堂任务 2 中俄逐项对照组件图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