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rial" w:hAnsi="Arial" w:eastAsia="PingFang SC"/>
          <w:b w:val="0"/>
          <w:color w:val="000000"/>
          <w:sz w:val="36"/>
          <w:lang w:val="zh-CN" w:eastAsia="zh-CN"/>
        </w:rPr>
        <w:t>StudySpace 部署图检查表</w:t>
      </w:r>
    </w:p>
    <w:p>
      <w:pPr>
        <w:pStyle w:val="Title"/>
        <w:keepLines/>
      </w:pPr>
      <w:r>
        <w:rPr>
          <w:rFonts w:ascii="Arial" w:hAnsi="Arial" w:eastAsia="PingFang SC"/>
          <w:b w:val="0"/>
          <w:color w:val="000000"/>
          <w:sz w:val="36"/>
          <w:lang w:val="ru-RU" w:eastAsia="zh-CN"/>
        </w:rPr>
        <w:t>StudySpace Проверка диаграммы развёртывания</w:t>
      </w:r>
    </w:p>
    <w:p>
      <w:r>
        <w:rPr>
          <w:rFonts w:ascii="Arial" w:hAnsi="Arial" w:eastAsia="PingFang SC"/>
          <w:b w:val="0"/>
          <w:color w:val="000000"/>
          <w:sz w:val="18"/>
          <w:lang w:val="zh-CN" w:eastAsia="zh-CN"/>
        </w:rPr>
        <w:t>SS-DEP-CHK-01  |  v1  |  2026-10-15  |  DRAFT</w:t>
      </w:r>
    </w:p>
    <w:p>
      <w:pPr>
        <w:keepNext/>
      </w:pPr>
      <w:r>
        <w:rPr>
          <w:rFonts w:ascii="Arial" w:hAnsi="Arial" w:eastAsia="PingFang SC"/>
          <w:b w:val="0"/>
          <w:color w:val="000000"/>
          <w:sz w:val="21"/>
          <w:lang w:val="zh-CN" w:eastAsia="zh-CN"/>
        </w:rPr>
        <w:t>六项检查内容已根据 StudySpace 架构填写。组件与节点沿用 CMP 和 N 编号；“已填写”表示设计内容已补全，图面核对状态为待核对，实际部署仍为 NOT_EXECUTED。</w:t>
      </w:r>
    </w:p>
    <w:p>
      <w:pPr>
        <w:keepLines/>
      </w:pPr>
      <w:r>
        <w:rPr>
          <w:rFonts w:ascii="Arial" w:hAnsi="Arial" w:eastAsia="PingFang SC"/>
          <w:b w:val="0"/>
          <w:color w:val="000000"/>
          <w:sz w:val="21"/>
          <w:lang w:val="ru-RU" w:eastAsia="zh-CN"/>
        </w:rPr>
        <w:t>Шесть пунктов заполнены по архитектуре StudySpace с сохранением ID CMP и N. «Заполнено» означает подготовленное содержание проекта; сверка изображения ожидается, фактическое размещение остаётся NOT_EXECUTED.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6"/>
        <w:gridCol w:w="6048"/>
        <w:gridCol w:w="2088"/>
      </w:tblGrid>
      <w:tr>
        <w:trPr>
          <w:tblHeader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29485D"/>
          </w:tcPr>
          <w:p>
            <w:pPr>
              <w:keepNext w:val="0"/>
              <w:spacing w:after="80" w:line="250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  <w:lang w:val="zh-CN" w:eastAsia="zh-CN"/>
              </w:rPr>
              <w:t>检查要求</w:t>
            </w:r>
          </w:p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  <w:lang w:val="ru-RU" w:eastAsia="zh-CN"/>
              </w:rPr>
              <w:t>Требование проверки</w:t>
            </w:r>
          </w:p>
        </w:tc>
        <w:tc>
          <w:tcPr>
            <w:tcW w:type="dxa" w:w="6048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29485D"/>
          </w:tcPr>
          <w:p>
            <w:pPr>
              <w:keepNext w:val="0"/>
              <w:spacing w:after="80" w:line="250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  <w:lang w:val="zh-CN" w:eastAsia="zh-CN"/>
              </w:rPr>
              <w:t>StudySpace 填写内容</w:t>
            </w:r>
          </w:p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  <w:lang w:val="ru-RU" w:eastAsia="zh-CN"/>
              </w:rPr>
              <w:t>Заполнение для StudySpace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29485D"/>
          </w:tcPr>
          <w:p>
            <w:pPr>
              <w:keepNext w:val="0"/>
              <w:spacing w:after="80" w:line="250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  <w:lang w:val="zh-CN" w:eastAsia="zh-CN"/>
              </w:rPr>
              <w:t>依据与核对状态</w:t>
            </w:r>
          </w:p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  <w:lang w:val="ru-RU" w:eastAsia="zh-CN"/>
              </w:rPr>
              <w:t>Основания и статус сверки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1 每个组件放置在节点上</w:t>
            </w:r>
          </w:p>
          <w:p>
            <w:pPr>
              <w:keepNext w:val="0"/>
              <w:spacing w:after="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Каждый компонент размещён на узле</w:t>
            </w:r>
          </w:p>
        </w:tc>
        <w:tc>
          <w:tcPr>
            <w:tcW w:type="dxa" w:w="6048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CMP-001 在 N-01 浏览器执行，其静态制品由 N-03 Nginx 分发；CMP-002 至 CMP-009 位于 N-04 FastAPI 单体。N-05 为 Caddy 入口，N-06 PostgreSQL 存放数据，SQLAlchemy 访问层 CMP-009 仍在 N-04。CMP-010 对应外部依赖 N-07；N-02 是本地开发方式。</w:t>
            </w:r>
          </w:p>
          <w:p>
            <w:pPr>
              <w:keepNext w:val="0"/>
              <w:spacing w:after="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CMP-001 исполняется в браузере N-01, статика раздаётся Nginx N-03. CMP-002–CMP-009 находятся в монолите FastAPI N-04. N-05 — вход Caddy, N-06 PostgreSQL хранит данные; слой SQLAlchemy CMP-009 остаётся в N-04. CMP-010 соответствует внешней зависимости N-07; N-02 — локальная разработка.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50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S1 S3 S4</w:t>
              <w:br/>
              <w:t>映射已填写</w:t>
              <w:br/>
              <w:t>待图面核对</w:t>
            </w:r>
          </w:p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S1 S3 S4</w:t>
              <w:br/>
              <w:t>Связь задана</w:t>
              <w:br/>
              <w:t>Сверка ожидается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after="8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2 标注关键连接的协议和端口</w:t>
            </w:r>
          </w:p>
          <w:p>
            <w:pPr>
              <w:keepNext w:val="0"/>
              <w:spacing w:after="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Подписаны протоколы и порты ключевых связей</w:t>
            </w:r>
          </w:p>
        </w:tc>
        <w:tc>
          <w:tcPr>
            <w:tcW w:type="dxa" w:w="6048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after="8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目标连接：浏览器 → Caddy 为 HTTPS/TCP 443；Caddy → Nginx 为 HTTP/TCP 80；Nginx 的 /api/ → FastAPI 为 HTTP/JSON/TCP 8000；后端 → PostgreSQL 为 PostgreSQL/TCP 5432，5432 沿用连接示例，最终绑定待生产配置确认。单体内部调用不新增网络端口；本地开发为 5173/8000，本地容器入口为 8080。</w:t>
            </w:r>
          </w:p>
          <w:p>
            <w:pPr>
              <w:keepNext w:val="0"/>
              <w:spacing w:after="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Целевые связи: браузер → Caddy HTTPS/TCP 443; Caddy → Nginx HTTP/TCP 80; /api/ Nginx → FastAPI HTTP/JSON/TCP 8000; сервер → PostgreSQL PostgreSQL/TCP 5432. Порт 5432 взят из примера, привязки уточняются в конфигурации размещения. Вызовы внутри монолита не требуют портов. Локально: 5173/8000, вход контейнеров 8080.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after="80" w:line="250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S1 S5 S7</w:t>
              <w:br/>
              <w:t>S8 S9</w:t>
              <w:br/>
              <w:t>端口方案已填写</w:t>
              <w:br/>
              <w:t>待图面核对</w:t>
            </w:r>
          </w:p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S1 S5 S7</w:t>
              <w:br/>
              <w:t>S8 S9</w:t>
              <w:br/>
              <w:t>Порты заданы</w:t>
              <w:br/>
              <w:t>Сверка ожидается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3 显示数据库不可越过的网络边界</w:t>
            </w:r>
          </w:p>
          <w:p>
            <w:pPr>
              <w:keepNext w:val="0"/>
              <w:spacing w:after="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Показана граница, за которую нельзя выставлять БД</w:t>
            </w:r>
          </w:p>
        </w:tc>
        <w:tc>
          <w:tcPr>
            <w:tcW w:type="dxa" w:w="6048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目标图应区分公网与服务器内部 Docker 网络。Caddy 是公开 Web 入口；PostgreSQL N-06 及其数据卷放在内部边界内，仅由后端访问，不向公网发布数据库端口。图中不应出现浏览器直连数据库；Nginx 与 FastAPI 的目标生产绑定随部署配置确认。</w:t>
            </w:r>
          </w:p>
          <w:p>
            <w:pPr>
              <w:keepNext w:val="0"/>
              <w:spacing w:after="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Целевая схема разделяет публичную сеть и внутреннюю сеть Docker на сервере. Caddy — публичный Web-вход; PostgreSQL N-06 и том данных находятся внутри, доступ к БД имеет сервер приложения без публикации порта в Интернет. Прямой связи браузера с БД нет; производственные привязки Nginx и FastAPI уточняются при размещении.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50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S1 S2 S5</w:t>
              <w:br/>
              <w:t>边界方案已填写</w:t>
              <w:br/>
              <w:t>待图面核对</w:t>
            </w:r>
          </w:p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S1 S2 S5</w:t>
              <w:br/>
              <w:t>Граница задана</w:t>
              <w:br/>
              <w:t>Сверка ожидается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after="8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4 注明 TLS 终止位置</w:t>
            </w:r>
          </w:p>
          <w:p>
            <w:pPr>
              <w:keepNext w:val="0"/>
              <w:spacing w:after="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Указано, где завершается TLS</w:t>
            </w:r>
          </w:p>
        </w:tc>
        <w:tc>
          <w:tcPr>
            <w:tcW w:type="dxa" w:w="6048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after="8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目标 TLS 终止点为 N-05 Caddy：在入口标注 HTTPS 443 和 TLS termination；证书及其持久存储由 Caddy 管理。到 Nginx 的内部段为 HTTP 80，再由 Nginx 转发 /api/ 到 HTTP 8000。图例须说明该方案不是全链路 TLS；当前本地 HTTP 配置尚无 TLS。</w:t>
            </w:r>
          </w:p>
          <w:p>
            <w:pPr>
              <w:keepNext w:val="0"/>
              <w:spacing w:after="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Целевая точка завершения TLS — Caddy N-05: у входа обозначаются HTTPS 443 и TLS termination; сертификаты и постоянное хранилище обслуживает Caddy. Далее идут HTTP 80 к Nginx и /api/ на HTTP 8000. Легенда уточняет отсутствие TLS на внутренних сегментах; текущая локальная HTTP-конфигурация без TLS.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after="80" w:line="250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S1 S5 S8</w:t>
              <w:br/>
              <w:t>终止点已填写</w:t>
              <w:br/>
              <w:t>待图面核对</w:t>
            </w:r>
          </w:p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S1 S5 S8</w:t>
              <w:br/>
              <w:t>Точка задана</w:t>
              <w:br/>
              <w:t>Сверка ожидается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5 外部系统与组件图保持一致</w:t>
            </w:r>
          </w:p>
          <w:p>
            <w:pPr>
              <w:keepNext w:val="0"/>
              <w:spacing w:after="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Внешние системы отражены так же, как на диаграмме компонентов</w:t>
            </w:r>
          </w:p>
        </w:tc>
        <w:tc>
          <w:tcPr>
            <w:tcW w:type="dxa" w:w="6048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沿用 CMP-010 可信学校核验来源，在 StudySpace 系统边界外标为 N-07。与 CMP-003 的 IF-04 保持人工核验、来源引用的虚线依赖；不改为自动 SSO 或已有 API。学校确认的名单或平台仍由 OPEN-003 确定，承载形式及端口待确认。</w:t>
            </w:r>
          </w:p>
          <w:p>
            <w:pPr>
              <w:keepNext w:val="0"/>
              <w:spacing w:after="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Сохранить CMP-010 «Доверенный источник вуза» как N-07 вне границы StudySpace. IF-04 с CMP-003 остаётся пунктирной зависимостью ручной проверки и ссылки на источник, без замены на автоматический SSO или готовый API. Реестр или платформа определяются в OPEN-003; форма размещения и порты уточняются.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0F4F7"/>
          </w:tcPr>
          <w:p>
            <w:pPr>
              <w:keepNext w:val="0"/>
              <w:spacing w:after="80" w:line="250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S1 S3 S4</w:t>
              <w:br/>
              <w:t>外部依赖一致</w:t>
              <w:br/>
              <w:t>待图面核对</w:t>
            </w:r>
          </w:p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S1 S3 S4</w:t>
              <w:br/>
              <w:t>Источник согласован</w:t>
              <w:br/>
              <w:t>Сверка ожидается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after="8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6 提供图名和说明</w:t>
            </w:r>
          </w:p>
          <w:p>
            <w:pPr>
              <w:keepNext w:val="0"/>
              <w:spacing w:after="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Есть название и пояснение</w:t>
            </w:r>
          </w:p>
        </w:tc>
        <w:tc>
          <w:tcPr>
            <w:tcW w:type="dxa" w:w="6048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after="8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图名：StudySpace 目标部署图。说明：React 浏览器 → Caddy HTTPS 入口 → Nginx 静态服务及 API 转发 → FastAPI 单体 → 内网 PostgreSQL；学校来源用人工核验虚线连接。图例解释网络边界、协议和目标状态，并单独注明开发 SQLite 路径。</w:t>
            </w:r>
          </w:p>
          <w:p>
            <w:pPr>
              <w:keepNext w:val="0"/>
              <w:spacing w:after="0" w:line="25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Название: StudySpace Диаграмма целевого развёртывания. Пояснение: браузер React → HTTPS-вход Caddy → Nginx → монолит FastAPI → внутренняя PostgreSQL; источник вуза связан пунктиром ручной проверки. Легенда поясняет границы сети, протоколы, целевой статус и отдельный путь SQLite разработки.</w:t>
            </w:r>
          </w:p>
        </w:tc>
        <w:tc>
          <w:tcPr>
            <w:tcW w:type="dxa" w:w="2088"/>
            <w:vAlign w:val="center"/>
            <w:tcMar>
              <w:top w:w="95" w:type="dxa"/>
              <w:bottom w:w="95" w:type="dxa"/>
              <w:left w:w="80" w:type="dxa"/>
              <w:right w:w="80" w:type="dxa"/>
            </w:tcMar>
            <w:shd w:fill="FFFFFF"/>
          </w:tcPr>
          <w:p>
            <w:pPr>
              <w:keepNext w:val="0"/>
              <w:spacing w:after="80" w:line="250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zh-CN" w:eastAsia="zh-CN"/>
              </w:rPr>
              <w:t>S1 S2 S3</w:t>
              <w:br/>
              <w:t>图名说明已填写</w:t>
              <w:br/>
              <w:t>待图面核对</w:t>
            </w:r>
          </w:p>
          <w:p>
            <w:pPr>
              <w:keepNext w:val="0"/>
              <w:spacing w:after="0" w:line="250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19"/>
                <w:lang w:val="ru-RU" w:eastAsia="zh-CN"/>
              </w:rPr>
              <w:t>S1 S2 S3</w:t>
              <w:br/>
              <w:t>Название задано</w:t>
              <w:br/>
              <w:t>Сверка ожидается</w:t>
            </w:r>
          </w:p>
        </w:tc>
      </w:tr>
    </w:tbl>
    <w:p>
      <w:pPr>
        <w:pStyle w:val="Heading1"/>
        <w:keepNext/>
      </w:pPr>
      <w:r>
        <w:rPr>
          <w:rFonts w:ascii="Arial" w:hAnsi="Arial" w:eastAsia="PingFang SC"/>
          <w:b w:val="0"/>
          <w:color w:val="000000"/>
          <w:sz w:val="24"/>
          <w:lang w:val="zh-CN" w:eastAsia="zh-CN"/>
        </w:rPr>
        <w:t>检查结论</w:t>
      </w:r>
    </w:p>
    <w:p>
      <w:pPr>
        <w:pStyle w:val="Heading1"/>
        <w:keepLines/>
      </w:pPr>
      <w:r>
        <w:rPr>
          <w:rFonts w:ascii="Arial" w:hAnsi="Arial" w:eastAsia="PingFang SC"/>
          <w:b w:val="0"/>
          <w:color w:val="000000"/>
          <w:sz w:val="24"/>
          <w:lang w:val="ru-RU" w:eastAsia="zh-CN"/>
        </w:rPr>
        <w:t>Итог проверки</w:t>
      </w:r>
    </w:p>
    <w:p>
      <w:pPr>
        <w:keepNext/>
      </w:pPr>
      <w:r>
        <w:rPr>
          <w:rFonts w:ascii="Arial" w:hAnsi="Arial" w:eastAsia="PingFang SC"/>
          <w:b w:val="0"/>
          <w:color w:val="000000"/>
          <w:sz w:val="19"/>
          <w:lang w:val="zh-CN" w:eastAsia="zh-CN"/>
        </w:rPr>
        <w:t>六项设计内容均已填写，图面验收仍待逐项核对。当前 Compose 为本地 HTTP 候选，生产方案未部署；OPEN-003、OPEN-010 待确认，业务用例保持 NOT_RUN。</w:t>
      </w:r>
    </w:p>
    <w:p>
      <w:pPr>
        <w:keepLines/>
      </w:pPr>
      <w:r>
        <w:rPr>
          <w:rFonts w:ascii="Arial" w:hAnsi="Arial" w:eastAsia="PingFang SC"/>
          <w:b w:val="0"/>
          <w:color w:val="000000"/>
          <w:sz w:val="19"/>
          <w:lang w:val="ru-RU" w:eastAsia="zh-CN"/>
        </w:rPr>
        <w:t>Шесть пунктов заполнены, сверка изображения ожидается. Compose — локальный HTTP-вариант, продакшен не развёрнут; OPEN-003 и OPEN-010 уточняются, бизнес-кейсы остаются NOT_RUN.</w:t>
      </w:r>
    </w:p>
    <w:p>
      <w:pPr>
        <w:pStyle w:val="Heading1"/>
      </w:pPr>
      <w:r>
        <w:rPr>
          <w:rFonts w:ascii="Arial" w:hAnsi="Arial" w:eastAsia="PingFang SC"/>
          <w:b w:val="0"/>
          <w:color w:val="000000"/>
          <w:sz w:val="24"/>
          <w:lang w:val="zh-CN" w:eastAsia="zh-CN"/>
        </w:rPr>
        <w:t>核对依据 Основания сверки</w:t>
      </w:r>
    </w:p>
    <w:p>
      <w:r>
        <w:rPr>
          <w:rFonts w:ascii="Arial" w:hAnsi="Arial" w:eastAsia="PingFang SC"/>
          <w:b w:val="0"/>
          <w:color w:val="000000"/>
          <w:sz w:val="18"/>
          <w:lang w:val="zh-CN" w:eastAsia="zh-CN"/>
        </w:rPr>
        <w:t>S1 节点与制品 / Узлы SS-DEP-T1-01; S2 环境与防护 / Среды SS-ENV-T1B-01;</w:t>
        <w:br/>
        <w:t>S3 组件表 / Компоненты SS-ARCH-03; S4 组件图 / Диаграмма компонентов SS-ARCH-02.</w:t>
      </w:r>
    </w:p>
    <w:p>
      <w:r>
        <w:rPr>
          <w:rFonts w:ascii="Arial" w:hAnsi="Arial" w:eastAsia="PingFang SC"/>
          <w:b w:val="0"/>
          <w:color w:val="000000"/>
          <w:sz w:val="18"/>
          <w:lang w:val="zh-CN" w:eastAsia="zh-CN"/>
        </w:rPr>
        <w:t>S5 S6 中俄 / Двуязычная ADR-0004; S7 compose.yaml; S8 frontend/nginx.conf;</w:t>
        <w:br/>
        <w:t>S9 .env.example; S10 docs/data/project-decisions.json.</w:t>
      </w:r>
    </w:p>
    <w:p>
      <w:r>
        <w:rPr>
          <w:rFonts w:ascii="Arial" w:hAnsi="Arial" w:eastAsia="PingFang SC"/>
          <w:b w:val="0"/>
          <w:color w:val="000000"/>
          <w:sz w:val="18"/>
          <w:lang w:val="zh-CN" w:eastAsia="zh-CN"/>
        </w:rPr>
        <w:t>项目目录 / Каталог проекта</w:t>
        <w:br/>
        <w:t>/Users/zhi/Documents/软件生命周期/studyspace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PingFang SC"/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="Arial" w:hAnsi="Arial" w:eastAsia="PingFang SC"/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Arial" w:hAnsi="Arial" w:eastAsia="PingFang SC"/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部署图检查表 Проверка диаграммы развёртывания</dc:title>
  <dc:subject>部署图六项检查 / Шесть проверок диаграммы развёртывания</dc:subject>
  <dc:creator>StudySpace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