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20"/>
      </w:pPr>
      <w:r>
        <w:rPr>
          <w:b w:val="0"/>
          <w:sz w:val="30"/>
        </w:rPr>
        <w:t>CampusFix 任务三 缺陷分诊</w:t>
      </w:r>
    </w:p>
    <w:p>
      <w:pPr>
        <w:pStyle w:val="Title"/>
        <w:keepNext/>
        <w:keepLines/>
        <w:spacing w:before="0" w:after="60"/>
      </w:pPr>
      <w:r>
        <w:rPr>
          <w:b w:val="0"/>
          <w:sz w:val="30"/>
        </w:rPr>
        <w:t>CampusFix Задание 3 Разбор и триаж</w:t>
      </w:r>
    </w:p>
    <w:p>
      <w:pPr>
        <w:keepNext/>
        <w:keepLines/>
        <w:spacing w:after="20"/>
      </w:pPr>
      <w:r>
        <w:rPr>
          <w:b w:val="0"/>
          <w:sz w:val="18"/>
        </w:rPr>
        <w:t>课堂示例  |  v1  |  DRAFT</w:t>
      </w:r>
    </w:p>
    <w:p>
      <w:pPr>
        <w:keepNext w:val="0"/>
        <w:keepLines/>
        <w:spacing w:before="0" w:after="60"/>
      </w:pPr>
      <w:r>
        <w:rPr>
          <w:b w:val="0"/>
          <w:sz w:val="18"/>
        </w:rPr>
        <w:t>Учебные примеры  |  v1  |  DRAFT</w:t>
      </w:r>
    </w:p>
    <w:p>
      <w:pPr>
        <w:keepNext/>
        <w:keepLines/>
        <w:spacing w:after="20"/>
      </w:pPr>
      <w:r>
        <w:rPr>
          <w:b w:val="0"/>
          <w:sz w:val="18"/>
        </w:rPr>
        <w:t>I-1～I-4 沿用任务二，I-5～I-7 为补充教学设定。下表为初步分诊建议；真实环境测试状态仍为 NOT_RUN。</w:t>
      </w:r>
    </w:p>
    <w:p>
      <w:pPr>
        <w:keepNext w:val="0"/>
        <w:keepLines/>
        <w:spacing w:before="0" w:after="60"/>
      </w:pPr>
      <w:r>
        <w:rPr>
          <w:b w:val="0"/>
          <w:sz w:val="18"/>
        </w:rPr>
        <w:t>I-1–I-4 взяты из задания 2; I-5–I-7 — дополнительные учебные условия. Решения предварительные; реальное тестирование — NOT_RUN.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5" w:type="dxa"/>
          <w:left w:w="55" w:type="dxa"/>
          <w:bottom w:w="55" w:type="dxa"/>
          <w:right w:w="55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549"/>
        <w:gridCol w:w="1814"/>
        <w:gridCol w:w="1771"/>
        <w:gridCol w:w="6538"/>
      </w:tblGrid>
      <w:tr>
        <w:trPr>
          <w:tblHeader/>
          <w:cantSplit/>
        </w:trPr>
        <w:tc>
          <w:tcPr>
            <w:tcW w:type="dxa" w:w="1584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证据与缺陷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Улика и дефект</w:t>
            </w:r>
          </w:p>
        </w:tc>
        <w:tc>
          <w:tcPr>
            <w:tcW w:type="dxa" w:w="2549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判断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814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严重程度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771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优先级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6538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理由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sz w:val="18"/>
              </w:rPr>
              <w:t>I-1</w:t>
              <w:br/>
              <w:t>BUG-0201</w:t>
            </w:r>
          </w:p>
        </w:tc>
        <w:tc>
          <w:tcPr>
            <w:tcW w:type="dxa" w:w="2549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缺陷 待复核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Дефект Проверить</w:t>
            </w:r>
          </w:p>
        </w:tc>
        <w:tc>
          <w:tcPr>
            <w:tcW w:type="dxa" w:w="181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S2 重大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S2 Значительная</w:t>
            </w:r>
          </w:p>
        </w:tc>
        <w:tc>
          <w:tcPr>
            <w:tcW w:type="dxa" w:w="1771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P1 高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P1 Высокий</w:t>
            </w:r>
          </w:p>
        </w:tc>
        <w:tc>
          <w:tcPr>
            <w:tcW w:type="dxa" w:w="653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违反 AC-CF-01，Firefox 登录受阻；Chrome 可绕行，未达全站阻断。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Нарушен AC-CF-01: вход в Firefox недоступен; есть обход через Chrome, общего отказа нет.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sz w:val="18"/>
              </w:rPr>
              <w:t>I-2</w:t>
              <w:br/>
              <w:t>BUG-0202</w:t>
            </w:r>
          </w:p>
        </w:tc>
        <w:tc>
          <w:tcPr>
            <w:tcW w:type="dxa" w:w="2549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缺陷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Дефект</w:t>
            </w:r>
          </w:p>
        </w:tc>
        <w:tc>
          <w:tcPr>
            <w:tcW w:type="dxa" w:w="181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S3 一般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S3 Умеренная</w:t>
            </w:r>
          </w:p>
        </w:tc>
        <w:tc>
          <w:tcPr>
            <w:tcW w:type="dxa" w:w="1771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P2 普通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P2 Обычный</w:t>
            </w:r>
          </w:p>
        </w:tc>
        <w:tc>
          <w:tcPr>
            <w:tcW w:type="dxa" w:w="653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违反 AC-CF-02，保存空描述污染数据；有效申请仍可提交。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Нарушен AC-CF-02: сохраняется пустое описание; корректные заявки отправляются.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sz w:val="18"/>
              </w:rPr>
              <w:t>I-3</w:t>
              <w:br/>
              <w:t>BUG-0203</w:t>
            </w:r>
          </w:p>
        </w:tc>
        <w:tc>
          <w:tcPr>
            <w:tcW w:type="dxa" w:w="2549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缺陷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Дефект</w:t>
            </w:r>
          </w:p>
        </w:tc>
        <w:tc>
          <w:tcPr>
            <w:tcW w:type="dxa" w:w="181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S1 严重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S1 Критическая</w:t>
            </w:r>
          </w:p>
        </w:tc>
        <w:tc>
          <w:tcPr>
            <w:tcW w:type="dxa" w:w="1771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P0 立即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P0 Немедленно</w:t>
            </w:r>
          </w:p>
        </w:tc>
        <w:tc>
          <w:tcPr>
            <w:tcW w:type="dxa" w:w="653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违反 AC-CF-03，普通学生可读他人详情，跨越数据访问边界。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Нарушен AC-CF-03: студент читает чужие подробности, нарушена изоляция данных.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sz w:val="18"/>
              </w:rPr>
              <w:t>I-4</w:t>
              <w:br/>
              <w:t>BUG-0204</w:t>
            </w:r>
          </w:p>
        </w:tc>
        <w:tc>
          <w:tcPr>
            <w:tcW w:type="dxa" w:w="2549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缺陷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Дефект</w:t>
            </w:r>
          </w:p>
        </w:tc>
        <w:tc>
          <w:tcPr>
            <w:tcW w:type="dxa" w:w="181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S3 一般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S3 Умеренная</w:t>
            </w:r>
          </w:p>
        </w:tc>
        <w:tc>
          <w:tcPr>
            <w:tcW w:type="dxa" w:w="1771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P2 普通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P2 Обычный</w:t>
            </w:r>
          </w:p>
        </w:tc>
        <w:tc>
          <w:tcPr>
            <w:tcW w:type="dxa" w:w="653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违反 AC-CF-04，筛选与结果不符；回到首页筛选可绕行。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Нарушен AC-CF-04: неверный список; обход — повторить фильтр со страницы 1.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sz w:val="18"/>
              </w:rPr>
              <w:t>I-5</w:t>
            </w:r>
          </w:p>
        </w:tc>
        <w:tc>
          <w:tcPr>
            <w:tcW w:type="dxa" w:w="2549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重复 归并 BUG-0201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Дубликат к BUG-0201</w:t>
            </w:r>
          </w:p>
        </w:tc>
        <w:tc>
          <w:tcPr>
            <w:tcW w:type="dxa" w:w="181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S2 沿用主单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S2 По основной</w:t>
            </w:r>
          </w:p>
        </w:tc>
        <w:tc>
          <w:tcPr>
            <w:tcW w:type="dxa" w:w="1771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P1 随主单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P1 По основной</w:t>
            </w:r>
          </w:p>
        </w:tc>
        <w:tc>
          <w:tcPr>
            <w:tcW w:type="dxa" w:w="653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与主单环境、步骤及现象一致，无新触发条件；证据并入主单。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Совпадают среда, шаги и симптом; новых условий нет. Улику добавить в основную запись.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sz w:val="18"/>
              </w:rPr>
              <w:t>I-6</w:t>
            </w:r>
          </w:p>
        </w:tc>
        <w:tc>
          <w:tcPr>
            <w:tcW w:type="dxa" w:w="2549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非缺陷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Не дефект</w:t>
            </w:r>
          </w:p>
        </w:tc>
        <w:tc>
          <w:tcPr>
            <w:tcW w:type="dxa" w:w="181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不适用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Не применимо</w:t>
            </w:r>
          </w:p>
        </w:tc>
        <w:tc>
          <w:tcPr>
            <w:tcW w:type="dxa" w:w="1771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不排缺陷期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Не планируется</w:t>
            </w:r>
          </w:p>
        </w:tc>
        <w:tc>
          <w:tcPr>
            <w:tcW w:type="dxa" w:w="653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未登录访问返回 401 并引导登录，符合补充规则 AUTH-CF-01。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Без сеанса ответ 401 ведёт ко входу, как предусмотрено правилом AUTH-CF-01.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sz w:val="18"/>
              </w:rPr>
              <w:t>I-7</w:t>
            </w:r>
          </w:p>
        </w:tc>
        <w:tc>
          <w:tcPr>
            <w:tcW w:type="dxa" w:w="2549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缺陷 拟建 BUG-0205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Дефект Создать BUG-0205</w:t>
            </w:r>
          </w:p>
        </w:tc>
        <w:tc>
          <w:tcPr>
            <w:tcW w:type="dxa" w:w="181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S4 轻微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S4 Незначительная</w:t>
            </w:r>
          </w:p>
        </w:tc>
        <w:tc>
          <w:tcPr>
            <w:tcW w:type="dxa" w:w="1771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P3 低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P3 Низкий</w:t>
            </w:r>
          </w:p>
        </w:tc>
        <w:tc>
          <w:tcPr>
            <w:tcW w:type="dxa" w:w="653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按钮错字违反 UI-CF-01；提交正常，无数据或访问权限影响。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Опечатка нарушает UI-CF-01; отправка работает, данные и права не затронуты.</w:t>
            </w:r>
          </w:p>
        </w:tc>
      </w:tr>
    </w:tbl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补充证据与判断依据</w:t>
      </w:r>
    </w:p>
    <w:p>
      <w:pPr>
        <w:pStyle w:val="Title"/>
        <w:keepNext/>
        <w:keepLines/>
        <w:spacing w:before="0" w:after="60"/>
      </w:pPr>
      <w:r>
        <w:rPr>
          <w:b w:val="0"/>
          <w:sz w:val="30"/>
        </w:rPr>
        <w:t>Дополнительные улики и основания решений</w:t>
      </w:r>
    </w:p>
    <w:p>
      <w:pPr>
        <w:keepNext/>
        <w:keepLines/>
        <w:spacing w:after="20"/>
      </w:pPr>
      <w:r>
        <w:rPr>
          <w:b w:val="0"/>
          <w:sz w:val="19"/>
        </w:rPr>
        <w:t>以下 I-5～I-7 为补充教学示例，用于说明重复、非缺陷和轻微缺陷的判定。</w:t>
      </w:r>
    </w:p>
    <w:p>
      <w:pPr>
        <w:keepNext w:val="0"/>
        <w:keepLines/>
        <w:spacing w:before="0" w:after="60"/>
      </w:pPr>
      <w:r>
        <w:rPr>
          <w:b w:val="0"/>
          <w:sz w:val="19"/>
        </w:rPr>
        <w:t>Учебные I-5–I-7 показывают, как отличить дубликат, ожидаемое поведение и незначительный дефект.</w:t>
      </w:r>
    </w:p>
    <w:p>
      <w:pPr>
        <w:pStyle w:val="Heading1"/>
        <w:keepNext/>
        <w:keepLines/>
        <w:spacing w:after="20"/>
      </w:pPr>
      <w:r>
        <w:rPr>
          <w:b/>
          <w:sz w:val="22"/>
        </w:rPr>
        <w:t>I-5 另一份相同 SSO 登录失败报告</w:t>
      </w:r>
    </w:p>
    <w:p>
      <w:pPr>
        <w:pStyle w:val="Heading1"/>
        <w:keepNext/>
        <w:keepLines/>
        <w:spacing w:before="0" w:after="60"/>
      </w:pPr>
      <w:r>
        <w:rPr>
          <w:b/>
          <w:sz w:val="22"/>
        </w:rPr>
        <w:t>I-5 Повторный отчёт о том же сбое входа SSO</w:t>
      </w:r>
    </w:p>
    <w:p>
      <w:pPr>
        <w:keepNext/>
        <w:keepLines/>
        <w:spacing w:after="20"/>
      </w:pPr>
      <w:r>
        <w:rPr>
          <w:b w:val="0"/>
          <w:sz w:val="20"/>
        </w:rPr>
        <w:t>教学设定：另一份报告同样使用 CampusFix 1.0.3、Windows 11、Firefox 131 和 student09；输入 SSO 密码后无提示返回登录表单，Chrome 130 正常，与 BUG-0201 的最小步骤及可见结果一致。</w:t>
      </w:r>
    </w:p>
    <w:p>
      <w:pPr>
        <w:keepNext w:val="0"/>
        <w:keepLines/>
        <w:spacing w:before="0" w:after="60"/>
      </w:pPr>
      <w:r>
        <w:rPr>
          <w:b w:val="0"/>
          <w:sz w:val="20"/>
        </w:rPr>
        <w:t>Учебное условие: второй отчёт относится к CampusFix 1.0.3, Windows 11, Firefox 131 и student09. После ввода пароля SSO происходит возврат без сообщения; в Chrome 130 вход работает. Минимальные шаги и видимый результат совпадают с BUG-0201.</w:t>
      </w:r>
    </w:p>
    <w:p>
      <w:pPr>
        <w:keepNext/>
        <w:keepLines/>
        <w:spacing w:after="20"/>
      </w:pPr>
      <w:r>
        <w:rPr>
          <w:b w:val="0"/>
          <w:sz w:val="20"/>
        </w:rPr>
        <w:t>处理：归并到 BUG-0201，保留 I-5 为附加证据；不独立排期。若复核发现不同触发条件或原因，再拆分。</w:t>
      </w:r>
    </w:p>
    <w:p>
      <w:pPr>
        <w:keepNext w:val="0"/>
        <w:keepLines/>
        <w:spacing w:before="0" w:after="60"/>
      </w:pPr>
      <w:r>
        <w:rPr>
          <w:b w:val="0"/>
          <w:sz w:val="20"/>
        </w:rPr>
        <w:t>Решение: Связать с BUG-0201, сохранить I-5 как дополнительную улику и не планировать отдельно. Если проверка выявит иные условия или причину, разделить записи.</w:t>
      </w:r>
    </w:p>
    <w:p>
      <w:pPr>
        <w:pStyle w:val="Heading1"/>
        <w:keepNext/>
        <w:keepLines/>
        <w:spacing w:after="20"/>
      </w:pPr>
      <w:r>
        <w:rPr>
          <w:b/>
          <w:sz w:val="22"/>
        </w:rPr>
        <w:t>I-6 匿名访问受保护资源被拒绝</w:t>
      </w:r>
    </w:p>
    <w:p>
      <w:pPr>
        <w:pStyle w:val="Heading1"/>
        <w:keepNext/>
        <w:keepLines/>
        <w:spacing w:before="0" w:after="60"/>
      </w:pPr>
      <w:r>
        <w:rPr>
          <w:b/>
          <w:sz w:val="22"/>
        </w:rPr>
        <w:t>I-6 Отказ анонимному пользователю в доступе к защищённому ресурсу</w:t>
      </w:r>
    </w:p>
    <w:p>
      <w:pPr>
        <w:keepNext/>
        <w:keepLines/>
        <w:spacing w:after="20"/>
      </w:pPr>
      <w:r>
        <w:rPr>
          <w:b w:val="0"/>
          <w:sz w:val="20"/>
        </w:rPr>
        <w:t>教学设定：未登录时请求申请列表，服务器返回 401，界面引导到登录页，响应不含申请数据。补充约定 AUTH-CF-01 明确要求此行为；它与 I-3 中已登录学生越权读取他人申请是不同条件。</w:t>
      </w:r>
    </w:p>
    <w:p>
      <w:pPr>
        <w:keepNext w:val="0"/>
        <w:keepLines/>
        <w:spacing w:before="0" w:after="60"/>
      </w:pPr>
      <w:r>
        <w:rPr>
          <w:b w:val="0"/>
          <w:sz w:val="20"/>
        </w:rPr>
        <w:t>Учебное условие: запрос списка заявок без входа получает 401, интерфейс направляет ко входу, данных заявок в ответе нет. Дополнительное правило AUTH-CF-01 требует именно этого. Условия отличаются от I-3, где вошедший студент читает чужую заявку.</w:t>
      </w:r>
    </w:p>
    <w:p>
      <w:pPr>
        <w:keepNext/>
        <w:keepLines/>
        <w:spacing w:after="20"/>
      </w:pPr>
      <w:r>
        <w:rPr>
          <w:b w:val="0"/>
          <w:sz w:val="20"/>
        </w:rPr>
        <w:t>处理：判为非缺陷并记录符合预期；严重程度与修复优先级均不适用。</w:t>
      </w:r>
    </w:p>
    <w:p>
      <w:pPr>
        <w:keepNext w:val="0"/>
        <w:keepLines/>
        <w:spacing w:before="0" w:after="60"/>
      </w:pPr>
      <w:r>
        <w:rPr>
          <w:b w:val="0"/>
          <w:sz w:val="20"/>
        </w:rPr>
        <w:t>Решение: Признать ожидаемым поведением и не дефектом; серьёзность и приоритет исправления не применяются.</w:t>
      </w:r>
    </w:p>
    <w:p>
      <w:pPr>
        <w:pStyle w:val="Heading1"/>
        <w:keepNext/>
        <w:keepLines/>
        <w:spacing w:after="20"/>
      </w:pPr>
      <w:r>
        <w:rPr>
          <w:b/>
          <w:sz w:val="22"/>
        </w:rPr>
        <w:t>I-7 提交按钮俄语标签存在拼写错误</w:t>
      </w:r>
    </w:p>
    <w:p>
      <w:pPr>
        <w:pStyle w:val="Heading1"/>
        <w:keepNext/>
        <w:keepLines/>
        <w:spacing w:before="0" w:after="60"/>
      </w:pPr>
      <w:r>
        <w:rPr>
          <w:b/>
          <w:sz w:val="22"/>
        </w:rPr>
        <w:t>I-7 Опечатка в русской надписи кнопки отправки</w:t>
      </w:r>
    </w:p>
    <w:p>
      <w:pPr>
        <w:keepNext/>
        <w:keepLines/>
        <w:spacing w:after="20"/>
      </w:pPr>
      <w:r>
        <w:rPr>
          <w:b w:val="0"/>
          <w:sz w:val="20"/>
        </w:rPr>
        <w:t>教学设定：新建申请的按钮显示 «Отпавить»，UI-CF-01 规定应为 «Отправить»。使用有效表单点击按钮仍能成功创建申请；未观察到数据错误。</w:t>
      </w:r>
    </w:p>
    <w:p>
      <w:pPr>
        <w:keepNext w:val="0"/>
        <w:keepLines/>
        <w:spacing w:before="0" w:after="60"/>
      </w:pPr>
      <w:r>
        <w:rPr>
          <w:b w:val="0"/>
          <w:sz w:val="20"/>
        </w:rPr>
        <w:t>Учебное условие: в форме новой заявки кнопка подписана «Отпавить», а UI-CF-01 задаёт «Отправить». Нажатие с корректными полями успешно создаёт заявку; ошибок данных не наблюдается.</w:t>
      </w:r>
    </w:p>
    <w:p>
      <w:pPr>
        <w:keepNext/>
        <w:keepLines/>
        <w:spacing w:after="20"/>
      </w:pPr>
      <w:r>
        <w:rPr>
          <w:b w:val="0"/>
          <w:sz w:val="20"/>
        </w:rPr>
        <w:t>处理：建议分配新编号 BUG-0205，修正标签并复查俄语界面；严重程度 S4，优先级 P3。</w:t>
      </w:r>
    </w:p>
    <w:p>
      <w:pPr>
        <w:keepNext w:val="0"/>
        <w:keepLines/>
        <w:spacing w:before="0" w:after="60"/>
      </w:pPr>
      <w:r>
        <w:rPr>
          <w:b w:val="0"/>
          <w:sz w:val="20"/>
        </w:rPr>
        <w:t>Решение: Предложить новый ID BUG-0205, исправить надпись и проверить русский интерфейс; серьёзность S4, приоритет P3.</w:t>
      </w:r>
    </w:p>
    <w:p>
      <w:pPr>
        <w:pStyle w:val="Heading1"/>
        <w:keepNext/>
        <w:keepLines/>
        <w:spacing w:after="20"/>
      </w:pPr>
      <w:r>
        <w:rPr>
          <w:b/>
          <w:sz w:val="21"/>
        </w:rPr>
        <w:t>建议顺序</w:t>
      </w:r>
    </w:p>
    <w:p>
      <w:pPr>
        <w:pStyle w:val="Heading1"/>
        <w:keepNext/>
        <w:keepLines/>
        <w:spacing w:before="0" w:after="60"/>
      </w:pPr>
      <w:r>
        <w:rPr>
          <w:b/>
          <w:sz w:val="21"/>
        </w:rPr>
        <w:t>Рекомендуемая очередь</w:t>
      </w:r>
    </w:p>
    <w:p>
      <w:r>
        <w:rPr>
          <w:sz w:val="20"/>
        </w:rPr>
        <w:t>P0  BUG-0203  →  P1  BUG-0201  →  P2  BUG-0202 / BUG-0204  →  P3  BUG-0205</w:t>
      </w:r>
    </w:p>
    <w:p>
      <w:pPr>
        <w:keepNext/>
        <w:keepLines/>
        <w:spacing w:after="20"/>
      </w:pPr>
      <w:r>
        <w:rPr>
          <w:b w:val="0"/>
          <w:sz w:val="18"/>
        </w:rPr>
        <w:t>I-5 随 BUG-0201 合并处理，不独立排期；I-6 按预期行为记录。复测若改变影响范围，再调整分级与优先级。</w:t>
      </w:r>
    </w:p>
    <w:p>
      <w:pPr>
        <w:keepNext w:val="0"/>
        <w:keepLines/>
        <w:spacing w:before="0" w:after="60"/>
      </w:pPr>
      <w:r>
        <w:rPr>
          <w:b w:val="0"/>
          <w:sz w:val="18"/>
        </w:rPr>
        <w:t>I-5 обрабатывается вместе с BUG-0201 без отдельного планирования; I-6 фиксируется как ожидаемое поведение. Если проверка изменит оценку влияния, пересмотреть уровни.</w:t>
      </w:r>
    </w:p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分级标准与处理顺序</w:t>
      </w:r>
    </w:p>
    <w:p>
      <w:pPr>
        <w:pStyle w:val="Title"/>
        <w:keepNext/>
        <w:keepLines/>
        <w:spacing w:before="0" w:after="60"/>
      </w:pPr>
      <w:r>
        <w:rPr>
          <w:b w:val="0"/>
          <w:sz w:val="30"/>
        </w:rPr>
        <w:t>Критерии оценки и порядок обработки</w:t>
      </w:r>
    </w:p>
    <w:p>
      <w:pPr>
        <w:keepNext/>
        <w:keepLines/>
        <w:spacing w:after="20"/>
      </w:pPr>
      <w:r>
        <w:rPr>
          <w:b w:val="0"/>
          <w:sz w:val="19"/>
        </w:rPr>
        <w:t>本页定义仅用于本课堂练习。严重程度衡量影响，优先级决定处理顺序，两者分别判断。</w:t>
      </w:r>
    </w:p>
    <w:p>
      <w:pPr>
        <w:keepNext w:val="0"/>
        <w:keepLines/>
        <w:spacing w:before="0" w:after="60"/>
      </w:pPr>
      <w:r>
        <w:rPr>
          <w:b w:val="0"/>
          <w:sz w:val="19"/>
        </w:rPr>
        <w:t>Эта шкала используется в упражнении. Серьёзность описывает влияние, приоритет задаёт порядок обработки; оценки независимы.</w:t>
      </w:r>
    </w:p>
    <w:p>
      <w:pPr>
        <w:pStyle w:val="Heading1"/>
        <w:keepNext/>
        <w:keepLines/>
        <w:spacing w:after="20"/>
      </w:pPr>
      <w:r>
        <w:rPr>
          <w:b/>
          <w:sz w:val="21"/>
        </w:rPr>
        <w:t>严重程度</w:t>
      </w:r>
    </w:p>
    <w:p>
      <w:pPr>
        <w:pStyle w:val="Heading1"/>
        <w:keepNext/>
        <w:keepLines/>
        <w:spacing w:before="0" w:after="60"/>
      </w:pPr>
      <w:r>
        <w:rPr>
          <w:b/>
          <w:sz w:val="21"/>
        </w:rPr>
        <w:t>Серьёзность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5" w:type="dxa"/>
          <w:left w:w="55" w:type="dxa"/>
          <w:bottom w:w="55" w:type="dxa"/>
          <w:right w:w="55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2736"/>
        <w:gridCol w:w="10512"/>
      </w:tblGrid>
      <w:tr>
        <w:trPr>
          <w:tblHeader/>
          <w:cantSplit/>
        </w:trPr>
        <w:tc>
          <w:tcPr>
            <w:tcW w:type="dxa" w:w="1008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级别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Уровень</w:t>
            </w:r>
          </w:p>
        </w:tc>
        <w:tc>
          <w:tcPr>
            <w:tcW w:type="dxa" w:w="2736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含义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Значение</w:t>
            </w:r>
          </w:p>
        </w:tc>
        <w:tc>
          <w:tcPr>
            <w:tcW w:type="dxa" w:w="10512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判定依据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60"/>
            </w:pPr>
            <w:r>
              <w:rPr>
                <w:sz w:val="19"/>
              </w:rPr>
              <w:t>S1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严重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Критическая</w:t>
            </w:r>
          </w:p>
        </w:tc>
        <w:tc>
          <w:tcPr>
            <w:tcW w:type="dxa" w:w="105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数据机密性、完整性或全局关键服务受到严重破坏。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Серьёзно нарушены конфиденциальность, целостность или общая доступность ключевого сервиса.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60"/>
            </w:pPr>
            <w:r>
              <w:rPr>
                <w:sz w:val="19"/>
              </w:rPr>
              <w:t>S2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重大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Значительная</w:t>
            </w:r>
          </w:p>
        </w:tc>
        <w:tc>
          <w:tcPr>
            <w:tcW w:type="dxa" w:w="105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受支持环境中的关键流程不可用，存在局部绕行办法。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Ключевой сценарий недоступен в поддерживаемой среде; возможен ограниченный обход.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60"/>
            </w:pPr>
            <w:r>
              <w:rPr>
                <w:sz w:val="19"/>
              </w:rPr>
              <w:t>S3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一般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Умеренная</w:t>
            </w:r>
          </w:p>
        </w:tc>
        <w:tc>
          <w:tcPr>
            <w:tcW w:type="dxa" w:w="105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局部功能或数据质量不符合要求，主要流程仍可完成。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Локальная функция или качество данных нарушены; основной сценарий остаётся доступным.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60"/>
            </w:pPr>
            <w:r>
              <w:rPr>
                <w:sz w:val="19"/>
              </w:rPr>
              <w:t>S4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轻微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Незначительная</w:t>
            </w:r>
          </w:p>
        </w:tc>
        <w:tc>
          <w:tcPr>
            <w:tcW w:type="dxa" w:w="105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文字或外观问题，不影响功能、数据和权限。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Ошибка текста или оформления без влияния на функцию, данные и права.</w:t>
            </w:r>
          </w:p>
        </w:tc>
      </w:tr>
    </w:tbl>
    <w:p>
      <w:pPr>
        <w:pStyle w:val="Heading1"/>
        <w:keepNext/>
        <w:keepLines/>
        <w:spacing w:after="20"/>
      </w:pPr>
      <w:r>
        <w:rPr>
          <w:b/>
          <w:sz w:val="21"/>
        </w:rPr>
        <w:t>优先级</w:t>
      </w:r>
    </w:p>
    <w:p>
      <w:pPr>
        <w:pStyle w:val="Heading1"/>
        <w:keepNext/>
        <w:keepLines/>
        <w:spacing w:before="0" w:after="60"/>
      </w:pPr>
      <w:r>
        <w:rPr>
          <w:b/>
          <w:sz w:val="21"/>
        </w:rPr>
        <w:t>Приоритет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5" w:type="dxa"/>
          <w:left w:w="55" w:type="dxa"/>
          <w:bottom w:w="55" w:type="dxa"/>
          <w:right w:w="55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2736"/>
        <w:gridCol w:w="10512"/>
      </w:tblGrid>
      <w:tr>
        <w:trPr>
          <w:tblHeader/>
          <w:cantSplit/>
        </w:trPr>
        <w:tc>
          <w:tcPr>
            <w:tcW w:type="dxa" w:w="1008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级别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Уровень</w:t>
            </w:r>
          </w:p>
        </w:tc>
        <w:tc>
          <w:tcPr>
            <w:tcW w:type="dxa" w:w="2736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处理安排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Порядок</w:t>
            </w:r>
          </w:p>
        </w:tc>
        <w:tc>
          <w:tcPr>
            <w:tcW w:type="dxa" w:w="10512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安排依据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60"/>
            </w:pPr>
            <w:r>
              <w:rPr>
                <w:sz w:val="19"/>
              </w:rPr>
              <w:t>P0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立即处置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Немедленно</w:t>
            </w:r>
          </w:p>
        </w:tc>
        <w:tc>
          <w:tcPr>
            <w:tcW w:type="dxa" w:w="105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优先控制风险，修复并验证后再决定该版本能否发布。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Сначала ограничить риск; решение о выпуске — после исправления и проверки.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60"/>
            </w:pPr>
            <w:r>
              <w:rPr>
                <w:sz w:val="19"/>
              </w:rPr>
              <w:t>P1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高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Высокий</w:t>
            </w:r>
          </w:p>
        </w:tc>
        <w:tc>
          <w:tcPr>
            <w:tcW w:type="dxa" w:w="105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优先安排修复，发布前验证关键流程。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Исправлять в первую очередь и проверить ключевой сценарий до выпуска.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60"/>
            </w:pPr>
            <w:r>
              <w:rPr>
                <w:sz w:val="19"/>
              </w:rPr>
              <w:t>P2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普通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Обычный</w:t>
            </w:r>
          </w:p>
        </w:tc>
        <w:tc>
          <w:tcPr>
            <w:tcW w:type="dxa" w:w="105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按计划与迭代容量安排处理。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Планировать с учётом очереди и возможностей итерации.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60"/>
            </w:pPr>
            <w:r>
              <w:rPr>
                <w:sz w:val="19"/>
              </w:rPr>
              <w:t>P3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低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Низкий</w:t>
            </w:r>
          </w:p>
        </w:tc>
        <w:tc>
          <w:tcPr>
            <w:tcW w:type="dxa" w:w="105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进入后续文字或界面改进计划。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Включить в последующее улучшение текста или интерфейса.</w:t>
            </w:r>
          </w:p>
        </w:tc>
      </w:tr>
    </w:tbl>
    <w:sectPr w:rsidR="00FC693F" w:rsidRPr="0006063C" w:rsidSect="00034616">
      <w:pgSz w:w="15840" w:h="12240" w:orient="landscape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Arial" w:hAnsi="Arial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40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CampusFix 任务三 缺陷分诊</dc:title>
  <dc:subject>I-1 至 I-7 判断 严重程度 优先级 理由 中俄逐段对照</dc:subject>
  <dc:creator>StudySpace Coursework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