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StudySpace 管理员指南</w:t>
      </w:r>
    </w:p>
    <w:p>
      <w:pPr>
        <w:pStyle w:val="Subtitle"/>
      </w:pPr>
      <w:r>
        <w:t>StudySpace Руководство администратора</w:t>
      </w:r>
    </w:p>
    <w:p>
      <w:r>
        <w:t>SS-DAC-ADMIN-01 · v0.1 · DRAFT · 2026-10-21 · Asia/Shanghai</w:t>
      </w:r>
    </w:p>
    <w:p>
      <w:pPr>
        <w:pStyle w:val="Heading1"/>
      </w:pPr>
      <w:r>
        <w:t>1 概述与架构</w:t>
      </w:r>
    </w:p>
    <w:p>
      <w:pPr>
        <w:pStyle w:val="Heading2"/>
      </w:pPr>
      <w:r>
        <w:t>1 Обзор и архитектура</w:t>
      </w:r>
    </w:p>
    <w:p>
      <w:pPr>
        <w:keepNext/>
      </w:pPr>
      <w:r>
        <w:t>本指南供 StudySpace 课程小组在独立学习副本中安装、配置、诊断和演练恢复。应用版本 0.1.0，需求版本 0.3.0；正式文档 DRAFT，38 条需求仍 PROPOSED，38 个业务用例仍 NOT_RUN。</w:t>
      </w:r>
    </w:p>
    <w:p>
      <w:r>
        <w:t>Руководство для учебной группы StudySpace описывает установку, настройку, диагностику и восстановление отдельной учебной копии. Приложение 0.1.0, требования 0.3.0; документ DRAFT, 38 требований PROPOSED и 38 бизнес-кейсов NOT_RUN.</w:t>
      </w:r>
    </w:p>
    <w:p>
      <w:pPr>
        <w:keepNext/>
      </w:pPr>
      <w:r>
        <w:t>架构为 React 浏览器界面、FastAPI 模块化单体及同步 SQLAlchemy。开发使用 SQLite。本地 Compose 为 HTTP 候选，不含 Caddy 或 PostgreSQL；目标部署选用 Caddy 与内网 PostgreSQL，仍未执行。依据 R01、R02、R03、R04、R09。</w:t>
      </w:r>
    </w:p>
    <w:p>
      <w:r>
        <w:t>Архитектура: React в браузере, монолит FastAPI и синхронный SQLAlchemy; разработка на SQLite. Локальный Compose — вариант HTTP без Caddy/PostgreSQL. Целевая схема с Caddy и внутренним PostgreSQL ещё не развёрнута. Основания R01, R02, R03, R04, R09.</w:t>
      </w:r>
    </w:p>
    <w:p>
      <w:pPr>
        <w:keepNext/>
      </w:pPr>
      <w:r>
        <w:t>当前只提供首页、health、ready、Swagger 与 OpenAPI。认证、管理员创建、校内审核、资源、预约及统计业务未实现；没有默认管理员账号或密码。依据 NFR-003、ADR-0001 与 R06。</w:t>
      </w:r>
    </w:p>
    <w:p>
      <w:r>
        <w:t>Сейчас доступны главная страница, health, ready, Swagger и OpenAPI. Аутентификация, создание администратора, проверка вуза, ресурсы, бронь и статистика не реализованы; нет стандартного аккаунта или пароля администратора. NFR-003, ADR-0001, R06.</w:t>
      </w:r>
    </w:p>
    <w:p>
      <w:pPr>
        <w:pStyle w:val="Heading1"/>
      </w:pPr>
      <w:r>
        <w:t>2 环境前提与访问权限</w:t>
      </w:r>
    </w:p>
    <w:p>
      <w:pPr>
        <w:pStyle w:val="Heading2"/>
      </w:pPr>
      <w:r>
        <w:t>2 Среда и права доступа</w:t>
      </w:r>
    </w:p>
    <w:p>
      <w:pPr>
        <w:keepNext/>
      </w:pPr>
      <w:r>
        <w:t>全部命令从以下学习包根目录执行。只操作 00-project 副本和本包内文件；本指南不要求修改原 StudySpace 项目或生产服务器。</w:t>
      </w:r>
    </w:p>
    <w:p>
      <w:r>
        <w:t>Все команды выполняются из корня учебного пакета ниже. Изменяются только 00-project и файлы внутри пакета; исходный проект и продакшен для этих процедур не нужны.</w:t>
      </w:r>
    </w:p>
    <w:p>
      <w:pPr>
        <w:spacing w:after="20" w:line="240" w:lineRule="auto"/>
      </w:pPr>
      <w:r>
        <w:rPr>
          <w:rFonts w:ascii="Courier New" w:hAnsi="Courier New"/>
          <w:sz w:val="17"/>
        </w:rPr>
        <w:t>cd '/Users/zhi/Documents/软件生命周期/studyspace/coursework/2026-10-21-docs-as-code-environment-v1'</w:t>
      </w:r>
    </w:p>
    <w:p>
      <w:pPr>
        <w:keepNext/>
      </w:pPr>
      <w:r>
        <w:t>需要本地目录读写权限、Python ≥3.13 且 &lt;3.15、uv、Node 22.x 的 22.13+ 或 ≥24、npm 与 Git。包根 .venv 已安装 46 个后端依赖，前端 node_modules 未打包。首次下载需要网络；版本与安装依据 R07、R08、R10。</w:t>
      </w:r>
    </w:p>
    <w:p>
      <w:r>
        <w:t>Нужны права чтения/записи, Python ≥3.13 и &lt;3.15, uv, Node 22.x от 22.13 либо ≥24, npm и Git. В корневой .venv есть 46 пакетов сервера; node_modules не включён. Для первой загрузки нужна сеть. Основания R07, R08, R10.</w:t>
      </w:r>
    </w:p>
    <w:p>
      <w:pPr>
        <w:keepNext/>
      </w:pPr>
      <w:r>
        <w:t>服务只绑定回环地址。检查 8000 和 5173 是否可用，不停止其他项目的进程。Docker 仅用于可选的配置检查；容器运行和目标 HTTPS 部署需另具备相应环境。依据 ADR-0004、NFR-003。</w:t>
      </w:r>
    </w:p>
    <w:p>
      <w:r>
        <w:t>Сервисы привязаны к loopback. Проверить 8000 и 5173, не останавливая чужие процессы. Docker нужен только для необязательной проверки конфигурации; контейнеры и HTTPS требуют отдельной среды. ADR-0004, NFR-003.</w:t>
      </w:r>
    </w:p>
    <w:p>
      <w:r>
        <w:br w:type="page"/>
      </w:r>
    </w:p>
    <w:p>
      <w:pPr>
        <w:pStyle w:val="Heading1"/>
      </w:pPr>
      <w:r>
        <w:t>3 安装流程</w:t>
      </w:r>
    </w:p>
    <w:p>
      <w:pPr>
        <w:pStyle w:val="Heading2"/>
      </w:pPr>
      <w:r>
        <w:t>3 Процедура установки</w:t>
      </w:r>
    </w:p>
    <w:p>
      <w:pPr>
        <w:keepNext/>
      </w:pPr>
      <w:r>
        <w:t>AG-P01。状态 PARTIAL_VERIFIED：后端安装及包兼容性有 R10 证据；本次未重装前端或运行完整安装流程。依据 NFR-001、NFR-008、ADR-0001。</w:t>
      </w:r>
    </w:p>
    <w:p>
      <w:r>
        <w:t>AG-P01. PARTIAL_VERIFIED: установка и совместимость пакетов сервера подтверждены R10; полная установка и клиент в этой работе не выполнялись. NFR-001, NFR-008, ADR-0001.</w:t>
      </w:r>
    </w:p>
    <w:p>
      <w:pPr>
        <w:pStyle w:val="Heading2"/>
      </w:pPr>
      <w:r>
        <w:t>3.1 前置条件</w:t>
      </w:r>
    </w:p>
    <w:p>
      <w:pPr>
        <w:pStyle w:val="Heading3"/>
      </w:pPr>
      <w:r>
        <w:t>3.1 Предусловия</w:t>
      </w:r>
    </w:p>
    <w:p>
      <w:pPr>
        <w:keepNext/>
      </w:pPr>
      <w:r>
        <w:t>先完成第 2 章；确认 00-project/backend/uv.lock 和 frontend/package-lock.json 存在，工作目录正确，网络可用或所需包已缓存。已有 .env 不覆盖。</w:t>
      </w:r>
    </w:p>
    <w:p>
      <w:r>
        <w:t>Выполнить главу 2; проверить backend/uv.lock и frontend/package-lock.json внутри 00-project, рабочий каталог и сеть либо кэш. Имеющийся .env не заменять.</w:t>
      </w:r>
    </w:p>
    <w:p>
      <w:pPr>
        <w:pStyle w:val="Heading2"/>
      </w:pPr>
      <w:r>
        <w:t>3.2 操作步骤</w:t>
      </w:r>
    </w:p>
    <w:p>
      <w:pPr>
        <w:pStyle w:val="Heading3"/>
      </w:pPr>
      <w:r>
        <w:t>3.2 Действия</w:t>
      </w:r>
    </w:p>
    <w:p>
      <w:pPr>
        <w:keepNext/>
      </w:pPr>
      <w:r>
        <w:t>检查工具，按锁文件同步到学习包根 .venv，安装前端依赖，再仅在 .env 不存在时复制示例。所有缓存也放在本包内。</w:t>
      </w:r>
    </w:p>
    <w:p>
      <w:r>
        <w:t>Проверить инструменты, синхронизировать корневую .venv по lock-файлу, установить клиент и скопировать пример только при отсутствии .env. Кэш также хранится в пакете.</w:t>
      </w:r>
    </w:p>
    <w:p>
      <w:pPr>
        <w:spacing w:after="20" w:line="240" w:lineRule="auto"/>
      </w:pPr>
      <w:r>
        <w:rPr>
          <w:rFonts w:ascii="Courier New" w:hAnsi="Courier New"/>
          <w:sz w:val="17"/>
        </w:rPr>
        <w:t>python3 --version</w:t>
      </w:r>
    </w:p>
    <w:p>
      <w:pPr>
        <w:spacing w:after="20" w:line="240" w:lineRule="auto"/>
      </w:pPr>
      <w:r>
        <w:rPr>
          <w:rFonts w:ascii="Courier New" w:hAnsi="Courier New"/>
          <w:sz w:val="17"/>
        </w:rPr>
        <w:t>uv --version</w:t>
      </w:r>
    </w:p>
    <w:p>
      <w:pPr>
        <w:spacing w:after="20" w:line="240" w:lineRule="auto"/>
      </w:pPr>
      <w:r>
        <w:rPr>
          <w:rFonts w:ascii="Courier New" w:hAnsi="Courier New"/>
          <w:sz w:val="17"/>
        </w:rPr>
        <w:t>node --version</w:t>
      </w:r>
    </w:p>
    <w:p>
      <w:pPr>
        <w:spacing w:after="20" w:line="240" w:lineRule="auto"/>
      </w:pPr>
      <w:r>
        <w:rPr>
          <w:rFonts w:ascii="Courier New" w:hAnsi="Courier New"/>
          <w:sz w:val="17"/>
        </w:rPr>
        <w:t>npm --version</w:t>
      </w:r>
    </w:p>
    <w:p>
      <w:pPr>
        <w:spacing w:after="20" w:line="240" w:lineRule="auto"/>
      </w:pPr>
      <w:r>
        <w:rPr>
          <w:rFonts w:ascii="Courier New" w:hAnsi="Courier New"/>
          <w:sz w:val="17"/>
        </w:rPr>
        <w:t>UV_PROJECT_ENVIRONMENT="$PWD/.venv" UV_CACHE_DIR="$PWD/07-admin-guide/artifacts/uv-cache" \</w:t>
      </w:r>
    </w:p>
    <w:p>
      <w:pPr>
        <w:spacing w:after="20" w:line="240" w:lineRule="auto"/>
      </w:pPr>
      <w:r>
        <w:rPr>
          <w:rFonts w:ascii="Courier New" w:hAnsi="Courier New"/>
          <w:sz w:val="17"/>
        </w:rPr>
        <w:t xml:space="preserve">  uv sync --project 00-project/backend --python 3.13 --frozen --no-python-downloads</w:t>
      </w:r>
    </w:p>
    <w:p>
      <w:pPr>
        <w:spacing w:after="20" w:line="240" w:lineRule="auto"/>
      </w:pPr>
      <w:r>
        <w:rPr>
          <w:rFonts w:ascii="Courier New" w:hAnsi="Courier New"/>
          <w:sz w:val="17"/>
        </w:rPr>
        <w:t>npm_config_cache="$PWD/07-admin-guide/artifacts/npm-cache" \</w:t>
      </w:r>
    </w:p>
    <w:p>
      <w:pPr>
        <w:spacing w:after="20" w:line="240" w:lineRule="auto"/>
      </w:pPr>
      <w:r>
        <w:rPr>
          <w:rFonts w:ascii="Courier New" w:hAnsi="Courier New"/>
          <w:sz w:val="17"/>
        </w:rPr>
        <w:t xml:space="preserve">  npm --prefix 00-project/frontend ci --no-audit --no-fund</w:t>
      </w:r>
    </w:p>
    <w:p>
      <w:pPr>
        <w:spacing w:after="20" w:line="240" w:lineRule="auto"/>
      </w:pPr>
      <w:r>
        <w:rPr>
          <w:rFonts w:ascii="Courier New" w:hAnsi="Courier New"/>
          <w:sz w:val="17"/>
        </w:rPr>
        <w:t>if [ ! -e 00-project/.env ]; then cp 00-project/.env.example 00-project/.env; fi</w:t>
      </w:r>
    </w:p>
    <w:p>
      <w:pPr>
        <w:spacing w:after="20" w:line="240" w:lineRule="auto"/>
      </w:pPr>
      <w:r>
        <w:rPr>
          <w:rFonts w:ascii="Courier New" w:hAnsi="Courier New"/>
          <w:sz w:val="17"/>
        </w:rPr>
        <w:t>UV_CACHE_DIR="$PWD/07-admin-guide/artifacts/uv-cache" uv pip check --python .venv/bin/python</w:t>
      </w:r>
    </w:p>
    <w:p>
      <w:pPr>
        <w:pStyle w:val="Heading2"/>
      </w:pPr>
      <w:r>
        <w:t>3.3 预期结果</w:t>
      </w:r>
    </w:p>
    <w:p>
      <w:pPr>
        <w:pStyle w:val="Heading3"/>
      </w:pPr>
      <w:r>
        <w:t>3.3 Ожидаемый результат</w:t>
      </w:r>
    </w:p>
    <w:p>
      <w:pPr>
        <w:keepNext/>
      </w:pPr>
      <w:r>
        <w:t>各安装命令退出 0；.venv/bin/python、frontend/node_modules 存在，uv pip check 报包兼容，锁文件未变。保存版本及安装日志，不保存凭据。R10 记录原阶段后端安装通过；前端本次 NOT_RUN。</w:t>
      </w:r>
    </w:p>
    <w:p>
      <w:r>
        <w:t>Коды завершения 0; существуют .venv/bin/python и node_modules клиента, uv pip check подтверждает совместимость, lock-файлы сохранены. Записать версии и журнал без секретов. В R10 подтверждён прежний сервер; клиент сейчас NOT_RUN.</w:t>
      </w:r>
    </w:p>
    <w:p>
      <w:pPr>
        <w:pStyle w:val="Heading2"/>
      </w:pPr>
      <w:r>
        <w:t>3.4 失败处理</w:t>
      </w:r>
    </w:p>
    <w:p>
      <w:pPr>
        <w:pStyle w:val="Heading3"/>
      </w:pPr>
      <w:r>
        <w:t>3.4 При неуспехе</w:t>
      </w:r>
    </w:p>
    <w:p>
      <w:pPr>
        <w:keepNext/>
      </w:pPr>
      <w:r>
        <w:t>Python 版本不符时选择已安装的 3.13；DNS 或下载失败时检查网络或缓存后重试相同锁定安装。不删除锁文件、不全局安装、不用自动升级依赖绕过故障；保留原 .env。</w:t>
      </w:r>
    </w:p>
    <w:p>
      <w:r>
        <w:t>При неверной версии выбрать установленный Python 3.13; при DNS/загрузке проверить сеть или кэш и повторить ту же установку. Не удалять lock-файлы, не ставить глобально и не обновлять зависимости для обхода ошибки; сохранить .env.</w:t>
      </w:r>
    </w:p>
    <w:p>
      <w:r>
        <w:br w:type="page"/>
      </w:r>
    </w:p>
    <w:p>
      <w:pPr>
        <w:pStyle w:val="Heading1"/>
      </w:pPr>
      <w:r>
        <w:t>4 配置参数与敏感信息</w:t>
      </w:r>
    </w:p>
    <w:p>
      <w:pPr>
        <w:pStyle w:val="Heading2"/>
      </w:pPr>
      <w:r>
        <w:t>4 Параметры и секреты</w:t>
      </w:r>
    </w:p>
    <w:p>
      <w:pPr>
        <w:keepNext/>
      </w:pPr>
      <w:r>
        <w:t>至少配置以下 9 项。前四项是应用或代理环境变量，后两项控制安装工具，最后三项是显式 CLI 或配置文件参数；不把它们伪装为应用已支持的环境变量。依据 R05、R07、R08、R09。</w:t>
      </w:r>
    </w:p>
    <w:p>
      <w:r>
        <w:t>Ниже 9 параметров. Первые четыре — переменные приложения/прокси, следующие два — инструменты установки, последние три — CLI или настройки файла, а не вымышленные переменные приложения. Основания R05, R07, R08, R09.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1587"/>
        <w:gridCol w:w="4082"/>
        <w:gridCol w:w="2098"/>
      </w:tblGrid>
      <w:tr>
        <w:trPr>
          <w:tblHeader/>
          <w:cantSplit/>
        </w:trPr>
        <w:tc>
          <w:tcPr>
            <w:tcW w:type="dxa" w:w="232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7EDF3"/>
          </w:tcPr>
          <w:p>
            <w:pPr>
              <w:spacing w:after="40" w:line="240" w:lineRule="auto"/>
            </w:pPr>
            <w:r>
              <w:rPr>
                <w:rFonts w:ascii="Arial" w:hAnsi="Arial" w:eastAsia="PingFang SC"/>
                <w:b/>
                <w:sz w:val="18"/>
              </w:rPr>
              <w:t>参数 / Параметр</w:t>
            </w:r>
          </w:p>
        </w:tc>
        <w:tc>
          <w:tcPr>
            <w:tcW w:type="dxa" w:w="158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7EDF3"/>
          </w:tcPr>
          <w:p>
            <w:pPr>
              <w:spacing w:after="40" w:line="240" w:lineRule="auto"/>
            </w:pPr>
            <w:r>
              <w:rPr>
                <w:rFonts w:ascii="Arial" w:hAnsi="Arial" w:eastAsia="PingFang SC"/>
                <w:b/>
                <w:sz w:val="18"/>
              </w:rPr>
              <w:t>类别 / Тип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7EDF3"/>
          </w:tcPr>
          <w:p>
            <w:pPr>
              <w:spacing w:after="40" w:line="240" w:lineRule="auto"/>
            </w:pPr>
            <w:r>
              <w:rPr>
                <w:rFonts w:ascii="Arial" w:hAnsi="Arial" w:eastAsia="PingFang SC"/>
                <w:b/>
                <w:sz w:val="18"/>
              </w:rPr>
              <w:t>值与含义 / Значение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7EDF3"/>
          </w:tcPr>
          <w:p>
            <w:pPr>
              <w:spacing w:after="40" w:line="240" w:lineRule="auto"/>
            </w:pPr>
            <w:r>
              <w:rPr>
                <w:rFonts w:ascii="Arial" w:hAnsi="Arial" w:eastAsia="PingFang SC"/>
                <w:b/>
                <w:sz w:val="18"/>
              </w:rPr>
              <w:t>位置与依据 / Где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APP_ENV</w:t>
            </w:r>
          </w:p>
        </w:tc>
        <w:tc>
          <w:tcPr>
            <w:tcW w:type="dxa" w:w="158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应用 / Приложение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development；允许 test、production / Допустимы test, production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00-project/.env / R05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DATABASE_URL</w:t>
            </w:r>
          </w:p>
        </w:tc>
        <w:tc>
          <w:tcPr>
            <w:tcW w:type="dxa" w:w="158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应用 / Приложение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默认绝对 SQLite 路径；自定义目录须存在 / Абсолютный SQLite, каталог должен существовать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00-project/.env / R05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CORS_ORIGINS</w:t>
            </w:r>
          </w:p>
        </w:tc>
        <w:tc>
          <w:tcPr>
            <w:tcW w:type="dxa" w:w="158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应用 / Приложение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JSON 列表，回环 5173；Compose 使用 8080 / JSON, loopback 5173; Compose 8080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00-project/.env / R05 R09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API_PROXY_TARGET</w:t>
            </w:r>
          </w:p>
        </w:tc>
        <w:tc>
          <w:tcPr>
            <w:tcW w:type="dxa" w:w="158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Vite 代理 / Прокси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http://127.0.0.1:8000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00-project/.env / R07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UV_PROJECT_ENVIRONMENT</w:t>
            </w:r>
          </w:p>
        </w:tc>
        <w:tc>
          <w:tcPr>
            <w:tcW w:type="dxa" w:w="158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安装工具 / Инструмент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学习包根 .venv / Корневая .venv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安装命令 / Команда установки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UV_CACHE_DIR</w:t>
            </w:r>
          </w:p>
        </w:tc>
        <w:tc>
          <w:tcPr>
            <w:tcW w:type="dxa" w:w="158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安装工具 / Инструмент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本包 07-admin-guide/artifacts/uv-cache / Кэш в пакете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安装命令 / Команда установки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Uvicorn --host / --port</w:t>
            </w:r>
          </w:p>
        </w:tc>
        <w:tc>
          <w:tcPr>
            <w:tcW w:type="dxa" w:w="158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后端 CLI / Сервер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127.0.0.1 / 8000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启动命令 / Команда запуска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Vite server.host / server.port</w:t>
            </w:r>
          </w:p>
        </w:tc>
        <w:tc>
          <w:tcPr>
            <w:tcW w:type="dxa" w:w="158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前端配置 / Клиент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127.0.0.1 / 5173；strictPort=true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frontend/vite.config.ts / R07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Compose frontend ports</w:t>
            </w:r>
          </w:p>
        </w:tc>
        <w:tc>
          <w:tcPr>
            <w:tcW w:type="dxa" w:w="158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容器配置 / Контейнер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127.0.0.1:8080:80；仅本地 HTTP / Локальный HTTP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compose.yaml / R09</w:t>
            </w:r>
          </w:p>
        </w:tc>
      </w:tr>
    </w:tbl>
    <w:p>
      <w:pPr>
        <w:keepNext/>
      </w:pPr>
      <w:r>
        <w:t>最小本地示例：保留应用默认 SQLite 路径。自定义 DATABASE_URL 时使用绝对路径，并先创建仅学习副本使用的父目录。APP_ENV=production 只是一项取值，不会自动补齐认证、HTTPS 或部署配置。</w:t>
      </w:r>
    </w:p>
    <w:p>
      <w:r>
        <w:t>Минимальный пример сохраняет стандартный SQLite. Для DATABASE_URL задать абсолютный путь и заранее создать каталог учебной копии. APP_ENV=production само по себе не включает авторизацию, HTTPS или готовый продакшен.</w:t>
      </w:r>
    </w:p>
    <w:p>
      <w:pPr>
        <w:spacing w:after="20" w:line="240" w:lineRule="auto"/>
      </w:pPr>
      <w:r>
        <w:rPr>
          <w:rFonts w:ascii="Courier New" w:hAnsi="Courier New"/>
          <w:sz w:val="17"/>
        </w:rPr>
        <w:t>APP_ENV=development</w:t>
      </w:r>
    </w:p>
    <w:p>
      <w:pPr>
        <w:spacing w:after="20" w:line="240" w:lineRule="auto"/>
      </w:pPr>
      <w:r>
        <w:rPr>
          <w:rFonts w:ascii="Courier New" w:hAnsi="Courier New"/>
          <w:sz w:val="17"/>
        </w:rPr>
        <w:t>CORS_ORIGINS=["http://127.0.0.1:5173","http://localhost:5173"]</w:t>
      </w:r>
    </w:p>
    <w:p>
      <w:pPr>
        <w:spacing w:after="20" w:line="240" w:lineRule="auto"/>
      </w:pPr>
      <w:r>
        <w:rPr>
          <w:rFonts w:ascii="Courier New" w:hAnsi="Courier New"/>
          <w:sz w:val="17"/>
        </w:rPr>
        <w:t>API_PROXY_TARGET=http://127.0.0.1:8000</w:t>
      </w:r>
    </w:p>
    <w:p>
      <w:pPr>
        <w:spacing w:after="20" w:line="240" w:lineRule="auto"/>
      </w:pPr>
      <w:r>
        <w:rPr>
          <w:rFonts w:ascii="Courier New" w:hAnsi="Courier New"/>
          <w:sz w:val="17"/>
        </w:rPr>
        <w:t># Target-only placeholder; not active / 仅目标占位，未启用</w:t>
      </w:r>
    </w:p>
    <w:p>
      <w:pPr>
        <w:spacing w:after="20" w:line="240" w:lineRule="auto"/>
      </w:pPr>
      <w:r>
        <w:rPr>
          <w:rFonts w:ascii="Courier New" w:hAnsi="Courier New"/>
          <w:sz w:val="17"/>
        </w:rPr>
        <w:t># DATABASE_URL=postgresql+psycopg://APP_USER:REPLACE_WITH_SECRET@db.invalid:5432/studyspace</w:t>
      </w:r>
    </w:p>
    <w:p>
      <w:pPr>
        <w:keepNext/>
      </w:pPr>
      <w:r>
        <w:t>REPLACE_WITH_SECRET 是安全占位符，db.invalid 是示意主机，不是可用服务。实际密钥由受限环境配置提供；不写入指南、Git、日志或 VITE_* 客户端变量。当前开发骨架不需要生产密码。依据 NFR-003、NFR-007、ADR-0004。</w:t>
      </w:r>
    </w:p>
    <w:p>
      <w:r>
        <w:t>REPLACE_WITH_SECRET — заглушка, db.invalid — пример хоста, не сервис. Реальные секреты задаются ограниченной конфигурацией среды, без публикации в руководстве, Git, логах и VITE_*. Локальный каркас не требует производственного пароля. NFR-003, NFR-007, ADR-0004.</w:t>
      </w:r>
    </w:p>
    <w:p>
      <w:r>
        <w:br w:type="page"/>
      </w:r>
    </w:p>
    <w:p>
      <w:pPr>
        <w:pStyle w:val="Heading1"/>
      </w:pPr>
      <w:r>
        <w:t>5 本地启动与停止流程</w:t>
      </w:r>
    </w:p>
    <w:p>
      <w:pPr>
        <w:pStyle w:val="Heading2"/>
      </w:pPr>
      <w:r>
        <w:t>5 Локальный запуск и остановка</w:t>
      </w:r>
    </w:p>
    <w:p>
      <w:pPr>
        <w:keepNext/>
      </w:pPr>
      <w:r>
        <w:t>AG-P02。状态 READY_NOT_RUN；以下命令适配包根 .venv，不直接调用期待 backend/.venv 的原 dev.sh。依据 R05、R06、R07、ADR-0001。</w:t>
      </w:r>
    </w:p>
    <w:p>
      <w:r>
        <w:t>AG-P02. READY_NOT_RUN; команды учитывают корневую .venv вместо dev.sh, ожидающего backend/.venv. Основания R05, R06, R07, ADR-0001.</w:t>
      </w:r>
    </w:p>
    <w:p>
      <w:pPr>
        <w:pStyle w:val="Heading2"/>
      </w:pPr>
      <w:r>
        <w:t>5.1 前置条件</w:t>
      </w:r>
    </w:p>
    <w:p>
      <w:pPr>
        <w:pStyle w:val="Heading3"/>
      </w:pPr>
      <w:r>
        <w:t>5.1 Предусловия</w:t>
      </w:r>
    </w:p>
    <w:p>
      <w:pPr>
        <w:keepNext/>
      </w:pPr>
      <w:r>
        <w:t>AG-P01 完成；已核对 .env 不含外部数据库地址；8000 与 5173 空闲。打开两个本地终端，每个终端先进入第 2 章的学习包根目录。</w:t>
      </w:r>
    </w:p>
    <w:p>
      <w:r>
        <w:t>AG-P01 выполнен; в .env нет внешней БД, 8000 и 5173 свободны. Открыть два терминала и в обоих перейти в корень пакета из главы 2.</w:t>
      </w:r>
    </w:p>
    <w:p>
      <w:pPr>
        <w:pStyle w:val="Heading2"/>
      </w:pPr>
      <w:r>
        <w:t>5.2 操作步骤</w:t>
      </w:r>
    </w:p>
    <w:p>
      <w:pPr>
        <w:pStyle w:val="Heading3"/>
      </w:pPr>
      <w:r>
        <w:t>5.2 Действия</w:t>
      </w:r>
    </w:p>
    <w:p>
      <w:pPr>
        <w:keepNext/>
      </w:pPr>
      <w:r>
        <w:t>终端 A 启动后端；终端 B 启动前端。打开 http://127.0.0.1:5173，随后执行第 6 章检查。正常停止时在两个终端各按 Ctrl+C。</w:t>
      </w:r>
    </w:p>
    <w:p>
      <w:r>
        <w:t>В терминале A запустить сервер, в B — клиент. Открыть http://127.0.0.1:5173 и выполнить главу 6. Для остановки нажать Ctrl+C в каждом терминале.</w:t>
      </w:r>
    </w:p>
    <w:p>
      <w:pPr>
        <w:spacing w:after="20" w:line="240" w:lineRule="auto"/>
      </w:pPr>
      <w:r>
        <w:rPr>
          <w:rFonts w:ascii="Courier New" w:hAnsi="Courier New"/>
          <w:sz w:val="17"/>
        </w:rPr>
        <w:t># Terminal A / 终端 A</w:t>
      </w:r>
    </w:p>
    <w:p>
      <w:pPr>
        <w:spacing w:after="20" w:line="240" w:lineRule="auto"/>
      </w:pPr>
      <w:r>
        <w:rPr>
          <w:rFonts w:ascii="Courier New" w:hAnsi="Courier New"/>
          <w:sz w:val="17"/>
        </w:rPr>
        <w:t>.venv/bin/python -m uvicorn app.main:app --app-dir 00-project/backend \</w:t>
      </w:r>
    </w:p>
    <w:p>
      <w:pPr>
        <w:spacing w:after="20" w:line="240" w:lineRule="auto"/>
      </w:pPr>
      <w:r>
        <w:rPr>
          <w:rFonts w:ascii="Courier New" w:hAnsi="Courier New"/>
          <w:sz w:val="17"/>
        </w:rPr>
        <w:t xml:space="preserve">  --host 127.0.0.1 --port 8000</w:t>
      </w:r>
    </w:p>
    <w:p>
      <w:pPr>
        <w:spacing w:after="20" w:line="240" w:lineRule="auto"/>
      </w:pPr>
      <w:r>
        <w:rPr>
          <w:rFonts w:ascii="Courier New" w:hAnsi="Courier New"/>
          <w:sz w:val="17"/>
        </w:rPr>
        <w:t># Terminal B / 终端 B</w:t>
      </w:r>
    </w:p>
    <w:p>
      <w:pPr>
        <w:spacing w:after="20" w:line="240" w:lineRule="auto"/>
      </w:pPr>
      <w:r>
        <w:rPr>
          <w:rFonts w:ascii="Courier New" w:hAnsi="Courier New"/>
          <w:sz w:val="17"/>
        </w:rPr>
        <w:t>npm --prefix 00-project/frontend run dev</w:t>
      </w:r>
    </w:p>
    <w:p>
      <w:pPr>
        <w:pStyle w:val="Heading2"/>
      </w:pPr>
      <w:r>
        <w:t>5.3 预期结果</w:t>
      </w:r>
    </w:p>
    <w:p>
      <w:pPr>
        <w:pStyle w:val="Heading3"/>
      </w:pPr>
      <w:r>
        <w:t>5.3 Ожидаемый результат</w:t>
      </w:r>
    </w:p>
    <w:p>
      <w:pPr>
        <w:keepNext/>
      </w:pPr>
      <w:r>
        <w:t>后端监听回环 8000，Vite 监听回环 5173；首页加载且基础接口检查通过。Ctrl+C 后进程退出；本次未启动服务，预期结果不标为实测通过。</w:t>
      </w:r>
    </w:p>
    <w:p>
      <w:r>
        <w:t>Сервер слушает loopback 8000, Vite — 5173; главная и базовые API доступны. После Ctrl+C процессы завершаются. В этой работе сервисы не запускались, ожидание не считается фактом.</w:t>
      </w:r>
    </w:p>
    <w:p>
      <w:pPr>
        <w:pStyle w:val="Heading2"/>
      </w:pPr>
      <w:r>
        <w:t>5.4 失败处理</w:t>
      </w:r>
    </w:p>
    <w:p>
      <w:pPr>
        <w:pStyle w:val="Heading3"/>
      </w:pPr>
      <w:r>
        <w:t>5.4 При неуспехе</w:t>
      </w:r>
    </w:p>
    <w:p>
      <w:pPr>
        <w:keepNext/>
      </w:pPr>
      <w:r>
        <w:t>缺依赖先返回 AG-P01；端口占用先确认占用者，不结束无关进程；就绪失败按 D03 处理。只停止本人启动的服务，保留数据库及日志，不用删除卷或删库作为通用修复。</w:t>
      </w:r>
    </w:p>
    <w:p>
      <w:r>
        <w:t>При нехватке зависимостей вернуться к AG-P01; при занятом порте установить владельца, не завершать чужие процессы; readiness — D03. Останавливать только свои сервисы, сохранять БД и журналы, не удалять тома или БД для общего исправления.</w:t>
      </w:r>
    </w:p>
    <w:p>
      <w:r>
        <w:br w:type="page"/>
      </w:r>
    </w:p>
    <w:p>
      <w:pPr>
        <w:pStyle w:val="Heading1"/>
      </w:pPr>
      <w:r>
        <w:t>6 运行正常性检查流程</w:t>
      </w:r>
    </w:p>
    <w:p>
      <w:pPr>
        <w:pStyle w:val="Heading2"/>
      </w:pPr>
      <w:r>
        <w:t>6 Проверка работоспособности</w:t>
      </w:r>
    </w:p>
    <w:p>
      <w:pPr>
        <w:keepNext/>
      </w:pPr>
      <w:r>
        <w:t>AG-P03。状态 PARTIAL_VERIFIED：R11 的已有 TestClient 检查 8 passed、1 warning；真实 HTTP、页面与代理流程本次 NOT_RUN。依据 NFR-007、ADR-0001、R06。</w:t>
      </w:r>
    </w:p>
    <w:p>
      <w:r>
        <w:t>AG-P03. PARTIAL_VERIFIED: в R11 существующие тесты TestClient — 8 passed, 1 warning; реальные HTTP, страница и прокси сейчас NOT_RUN. NFR-007, ADR-0001, R06.</w:t>
      </w:r>
    </w:p>
    <w:p>
      <w:pPr>
        <w:pStyle w:val="Heading2"/>
      </w:pPr>
      <w:r>
        <w:t>6.1 前置条件</w:t>
      </w:r>
    </w:p>
    <w:p>
      <w:pPr>
        <w:pStyle w:val="Heading3"/>
      </w:pPr>
      <w:r>
        <w:t>6.1 Предусловия</w:t>
      </w:r>
    </w:p>
    <w:p>
      <w:pPr>
        <w:keepNext/>
      </w:pPr>
      <w:r>
        <w:t>检查目标必须是学习服务；HTTP 命令要求 AG-P02 正在运行。没有启动服务时，改用下方已有基础测试，不把进程内结果标为网络部署通过。</w:t>
      </w:r>
    </w:p>
    <w:p>
      <w:r>
        <w:t>Проверять только учебные сервисы; HTTP-команды требуют запущенного AG-P02. Без сервиса использовать существующие тесты ниже, не приравнивая TestClient к сетевому развёртыванию.</w:t>
      </w:r>
    </w:p>
    <w:p>
      <w:pPr>
        <w:pStyle w:val="Heading2"/>
      </w:pPr>
      <w:r>
        <w:t>6.2 操作步骤</w:t>
      </w:r>
    </w:p>
    <w:p>
      <w:pPr>
        <w:pStyle w:val="Heading3"/>
      </w:pPr>
      <w:r>
        <w:t>6.2 Действия</w:t>
      </w:r>
    </w:p>
    <w:p>
      <w:pPr>
        <w:spacing w:after="20" w:line="240" w:lineRule="auto"/>
      </w:pPr>
      <w:r>
        <w:rPr>
          <w:rFonts w:ascii="Courier New" w:hAnsi="Courier New"/>
          <w:sz w:val="17"/>
        </w:rPr>
        <w:t>curl --fail --show-error http://127.0.0.1:8000/api/v1/health</w:t>
      </w:r>
    </w:p>
    <w:p>
      <w:pPr>
        <w:spacing w:after="20" w:line="240" w:lineRule="auto"/>
      </w:pPr>
      <w:r>
        <w:rPr>
          <w:rFonts w:ascii="Courier New" w:hAnsi="Courier New"/>
          <w:sz w:val="17"/>
        </w:rPr>
        <w:t>curl --fail --show-error http://127.0.0.1:8000/api/v1/ready</w:t>
      </w:r>
    </w:p>
    <w:p>
      <w:pPr>
        <w:spacing w:after="20" w:line="240" w:lineRule="auto"/>
      </w:pPr>
      <w:r>
        <w:rPr>
          <w:rFonts w:ascii="Courier New" w:hAnsi="Courier New"/>
          <w:sz w:val="17"/>
        </w:rPr>
        <w:t>curl --fail --show-error http://127.0.0.1:5173/api/v1/health</w:t>
      </w:r>
    </w:p>
    <w:p>
      <w:pPr>
        <w:spacing w:after="20" w:line="240" w:lineRule="auto"/>
      </w:pPr>
      <w:r>
        <w:rPr>
          <w:rFonts w:ascii="Courier New" w:hAnsi="Courier New"/>
          <w:sz w:val="17"/>
        </w:rPr>
        <w:t>curl --fail --show-error http://127.0.0.1:5173/api/v1/ready</w:t>
      </w:r>
    </w:p>
    <w:p>
      <w:pPr>
        <w:spacing w:after="20" w:line="240" w:lineRule="auto"/>
      </w:pPr>
      <w:r>
        <w:rPr>
          <w:rFonts w:ascii="Courier New" w:hAnsi="Courier New"/>
          <w:sz w:val="17"/>
        </w:rPr>
        <w:t># Isolated alternative / 不启动服务时的隔离检查</w:t>
      </w:r>
    </w:p>
    <w:p>
      <w:pPr>
        <w:spacing w:after="20" w:line="240" w:lineRule="auto"/>
      </w:pPr>
      <w:r>
        <w:rPr>
          <w:rFonts w:ascii="Courier New" w:hAnsi="Courier New"/>
          <w:sz w:val="17"/>
        </w:rPr>
        <w:t>PYTHONDONTWRITEBYTECODE=1 .venv/bin/python -m pytest \</w:t>
      </w:r>
    </w:p>
    <w:p>
      <w:pPr>
        <w:spacing w:after="20" w:line="240" w:lineRule="auto"/>
      </w:pPr>
      <w:r>
        <w:rPr>
          <w:rFonts w:ascii="Courier New" w:hAnsi="Courier New"/>
          <w:sz w:val="17"/>
        </w:rPr>
        <w:t xml:space="preserve">  00-project/backend/tests/test_operations.py \</w:t>
      </w:r>
    </w:p>
    <w:p>
      <w:pPr>
        <w:spacing w:after="20" w:line="240" w:lineRule="auto"/>
      </w:pPr>
      <w:r>
        <w:rPr>
          <w:rFonts w:ascii="Courier New" w:hAnsi="Courier New"/>
          <w:sz w:val="17"/>
        </w:rPr>
        <w:t xml:space="preserve">  00-project/backend/tests/test_config.py -q -p no:cacheprovider</w:t>
      </w:r>
    </w:p>
    <w:p>
      <w:pPr>
        <w:keepNext/>
      </w:pPr>
      <w:r>
        <w:t>浏览器打开 /api/v1/docs；检查 /api/v1/openapi.json 仅列 health 与 ready。查看前端首页和语言切换，记录实际现象。HTTP 检查应同时覆盖后端和 Vite 代理地址。</w:t>
      </w:r>
    </w:p>
    <w:p>
      <w:r>
        <w:t>Открыть /api/v1/docs; проверить, что /api/v1/openapi.json содержит только health и ready. Посмотреть главную и переключение языков, записать факт. HTTP проверяется на сервере и через Vite.</w:t>
      </w:r>
    </w:p>
    <w:p>
      <w:pPr>
        <w:pStyle w:val="Heading2"/>
      </w:pPr>
      <w:r>
        <w:t>6.3 预期结果</w:t>
      </w:r>
    </w:p>
    <w:p>
      <w:pPr>
        <w:pStyle w:val="Heading3"/>
      </w:pPr>
      <w:r>
        <w:t>6.3 Ожидаемый результат</w:t>
      </w:r>
    </w:p>
    <w:p>
      <w:pPr>
        <w:keepNext/>
      </w:pPr>
      <w:r>
        <w:t>health 返回 200，JSON 为 {"status":"ok","service":"StudySpace","version":"0.1.0"}。ready 返回 200 并增加 database=ok；仅证明 SELECT 1 连接，不证明业务表或预约可用。故障 ready 应为脱敏 503。</w:t>
      </w:r>
    </w:p>
    <w:p>
      <w:r>
        <w:t>health: 200 и JSON {"status":"ok","service":"StudySpace","version":"0.1.0"}. ready: 200 и database=ok; это только SELECT 1, не бизнес-таблицы или бронь. При сбое ready ожидается обезличенный 503.</w:t>
      </w:r>
    </w:p>
    <w:p>
      <w:pPr>
        <w:pStyle w:val="Heading2"/>
      </w:pPr>
      <w:r>
        <w:t>6.4 失败处理</w:t>
      </w:r>
    </w:p>
    <w:p>
      <w:pPr>
        <w:pStyle w:val="Heading3"/>
      </w:pPr>
      <w:r>
        <w:t>6.4 При неуспехе</w:t>
      </w:r>
    </w:p>
    <w:p>
      <w:pPr>
        <w:keepNext/>
      </w:pPr>
      <w:r>
        <w:t>连接拒绝检查 AG-P02 与端口；health 成功但 ready 503 检查数据库目录及权限；代理失败按 D04。记录状态码及脱敏日志，处理后重复同一检查。测试中的 httpx 弃用提示是既有警告，不掩盖失败断言。</w:t>
      </w:r>
    </w:p>
    <w:p>
      <w:r>
        <w:t>При отказе соединения проверить AG-P02 и порты; health работает, ready 503 — каталог и права БД; прокси — D04. Сохранить код и безопасный журнал, затем повторить проверку. Прежнее предупреждение httpx не заменяет результаты тестов.</w:t>
      </w:r>
    </w:p>
    <w:p>
      <w:r>
        <w:br w:type="page"/>
      </w:r>
    </w:p>
    <w:p>
      <w:pPr>
        <w:pStyle w:val="Heading1"/>
      </w:pPr>
      <w:r>
        <w:t>7 故障诊断场景</w:t>
      </w:r>
    </w:p>
    <w:p>
      <w:pPr>
        <w:pStyle w:val="Heading2"/>
      </w:pPr>
      <w:r>
        <w:t>7 Диагностика неисправностей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948"/>
        <w:gridCol w:w="3402"/>
        <w:gridCol w:w="1361"/>
      </w:tblGrid>
      <w:tr>
        <w:trPr>
          <w:tblHeader/>
          <w:cantSplit/>
        </w:trPr>
        <w:tc>
          <w:tcPr>
            <w:tcW w:type="dxa" w:w="238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7EDF3"/>
          </w:tcPr>
          <w:p>
            <w:pPr>
              <w:spacing w:after="40" w:line="240" w:lineRule="auto"/>
            </w:pPr>
            <w:r>
              <w:rPr>
                <w:rFonts w:ascii="Arial" w:hAnsi="Arial" w:eastAsia="PingFang SC"/>
                <w:b/>
                <w:sz w:val="18"/>
              </w:rPr>
              <w:t>ID 与现象 / Симптом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7EDF3"/>
          </w:tcPr>
          <w:p>
            <w:pPr>
              <w:spacing w:after="40" w:line="240" w:lineRule="auto"/>
            </w:pPr>
            <w:r>
              <w:rPr>
                <w:rFonts w:ascii="Arial" w:hAnsi="Arial" w:eastAsia="PingFang SC"/>
                <w:b/>
                <w:sz w:val="18"/>
              </w:rPr>
              <w:t>检查 / Проверка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7EDF3"/>
          </w:tcPr>
          <w:p>
            <w:pPr>
              <w:spacing w:after="40" w:line="240" w:lineRule="auto"/>
            </w:pPr>
            <w:r>
              <w:rPr>
                <w:rFonts w:ascii="Arial" w:hAnsi="Arial" w:eastAsia="PingFang SC"/>
                <w:b/>
                <w:sz w:val="18"/>
              </w:rPr>
              <w:t>处理与复核 / Действия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7EDF3"/>
          </w:tcPr>
          <w:p>
            <w:pPr>
              <w:spacing w:after="40" w:line="240" w:lineRule="auto"/>
            </w:pPr>
            <w:r>
              <w:rPr>
                <w:rFonts w:ascii="Arial" w:hAnsi="Arial" w:eastAsia="PingFang SC"/>
                <w:b/>
                <w:sz w:val="18"/>
              </w:rPr>
              <w:t>依据 / Источник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D01 安装失败或 Python 不符</w:t>
              <w:br/>
              <w:t>Сбой установки или Python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检查 Python 3.13、锁文件、DNS 与缓存</w:t>
              <w:br/>
              <w:t>Проверить Python 3.13, lock-файлы, DNS и кэш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按 AG-P01 使用相同锁文件重试，不全局升级</w:t>
              <w:br/>
              <w:t>Повторить AG-P01 без глобального обновления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NFR-001 / R08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D02 端口已占用</w:t>
              <w:br/>
              <w:t>Порт занят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lsof -nP -iTCP:8000 -sTCP:LISTEN；5173 同理</w:t>
              <w:br/>
              <w:t>Та же проверка для 5173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确认所有者；停止自己的旧实例或等待端口释放</w:t>
              <w:br/>
              <w:t>Определить владельца, остановить только свой экземпляр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R07 / AG-P02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D03 health 200 但 ready 503</w:t>
              <w:br/>
              <w:t>health 200, ready 503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检查实际 SQLite 父目录和写权限；不输出含密钥的 URL</w:t>
              <w:br/>
              <w:t>Каталог и права SQLite, без URL с секретом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修正学习副本路径和权限，重测 ready；不删库</w:t>
              <w:br/>
              <w:t>Исправить путь/права и повторить ready, БД не удалять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NFR-007 / R05 R06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D04 页面 API 不通或代理 502</w:t>
              <w:br/>
              <w:t>API недоступен или proxy 502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先测 8000，再测 5173；核对 API_PROXY_TARGET</w:t>
              <w:br/>
              <w:t>Сначала 8000, затем 5173, проверить API_PROXY_TARGET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修正本地目标并重启自己启动的 Vite，再测代理</w:t>
              <w:br/>
              <w:t>Исправить target, перезапустить свой Vite и проверить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R07 / AG-P03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D05 跨域请求被浏览器拒绝</w:t>
              <w:br/>
              <w:t>Браузер отклоняет cross-origin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核对准确 Origin 与 CORS JSON；普通同源代理不需跨域放行</w:t>
              <w:br/>
              <w:t>Сверить Origin и JSON CORS; same-origin не требует CORS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只加入所需本地来源并重启后端，避免无条件通配</w:t>
              <w:br/>
              <w:t>Добавить нужный локальный Origin и перезапустить сервер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NFR-003 / R05 R06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D06 恢复输出已存在或完整性失败</w:t>
              <w:br/>
              <w:t>Файл восстановления есть или повреждён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检查新输出名称、源文件及演练日志</w:t>
              <w:br/>
              <w:t>Проверить новые имена, исходник и журнал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不覆盖源或旧备份；保留失败候选，换新文件名或可靠备份重试</w:t>
              <w:br/>
              <w:t>Не заменять исходник/копии; сохранить сбойный файл и выбрать новую цель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NFR-005 NFR-007 / R13</w:t>
            </w:r>
          </w:p>
        </w:tc>
      </w:tr>
    </w:tbl>
    <w:p>
      <w:pPr>
        <w:keepNext/>
      </w:pPr>
      <w:r>
        <w:t>业务路径返回 404 时，先核对该功能是否实现。当前 OpenAPI 只有基础端点，不能靠改代理或填虚构管理员账号让预约业务可用。每次处理后回到原失败检查复核，并保留时间、命令、状态码及脱敏结果。</w:t>
      </w:r>
    </w:p>
    <w:p>
      <w:r>
        <w:t>При 404 бизнес-пути сначала проверить наличие реализации. OpenAPI сейчас содержит только базовые API; прокси и выдуманный администратор не включат бронь. После исправления повторить исходную проверку и сохранить время, команду, код и безопасный результат.</w:t>
      </w:r>
    </w:p>
    <w:p>
      <w:r>
        <w:br w:type="page"/>
      </w:r>
    </w:p>
    <w:p>
      <w:pPr>
        <w:pStyle w:val="Heading1"/>
      </w:pPr>
      <w:r>
        <w:t>8 备份恢复与回退流程</w:t>
      </w:r>
    </w:p>
    <w:p>
      <w:pPr>
        <w:pStyle w:val="Heading2"/>
      </w:pPr>
      <w:r>
        <w:t>8 Резервирование восстановление и возврат</w:t>
      </w:r>
    </w:p>
    <w:p>
      <w:pPr>
        <w:keepNext/>
      </w:pPr>
      <w:r>
        <w:t>AG-P04。本地 SQLite 新文件恢复演练状态 PASS_DEMO_ONLY，依据 R12、R13；没有激活恢复文件，没有执行生产或业务数据恢复。依据 NFR-005、NFR-007、ADR-0002。</w:t>
      </w:r>
    </w:p>
    <w:p>
      <w:r>
        <w:t>AG-P04. Восстановление SQLite в новый файл: PASS_DEMO_ONLY, R12/R13. Кандидат не активирован, продакшен и бизнес-данные не восстанавливались. NFR-005, NFR-007, ADR-0002.</w:t>
      </w:r>
    </w:p>
    <w:p>
      <w:pPr>
        <w:pStyle w:val="Heading2"/>
      </w:pPr>
      <w:r>
        <w:t>8.1 前置条件</w:t>
      </w:r>
    </w:p>
    <w:p>
      <w:pPr>
        <w:pStyle w:val="Heading3"/>
      </w:pPr>
      <w:r>
        <w:t>8.1 Предусловия</w:t>
      </w:r>
    </w:p>
    <w:p>
      <w:pPr>
        <w:keepNext/>
      </w:pPr>
      <w:r>
        <w:t>仅对本学习包内 SQLite 文件操作。停止本人启动的服务并确认无写入者；源数据库存在且完整，两个输出路径互异且尚不存在。先保存学习副本当前 DATABASE_URL 配置；源文件和原配置均保留。</w:t>
      </w:r>
    </w:p>
    <w:p>
      <w:r>
        <w:t>Только SQLite внутри учебного пакета. Остановить свои сервисы и убедиться в отсутствии записывающих процессов. Исходник существует и исправен, два разных выходных файла отсутствуют. Сохранить прежний DATABASE_URL учебной копии; исходник и настройки не заменяются.</w:t>
      </w:r>
    </w:p>
    <w:p>
      <w:pPr>
        <w:pStyle w:val="Heading2"/>
      </w:pPr>
      <w:r>
        <w:t>8.2 操作步骤</w:t>
      </w:r>
    </w:p>
    <w:p>
      <w:pPr>
        <w:pStyle w:val="Heading3"/>
      </w:pPr>
      <w:r>
        <w:t>8.2 Действия</w:t>
      </w:r>
    </w:p>
    <w:p>
      <w:pPr>
        <w:keepNext/>
      </w:pPr>
      <w:r>
        <w:t>运行随包工具，以 SQLite backup API 生成一致性备份，再从备份恢复到新文件。下例源库是两条合成教学记录；重跑须选择尚不存在的输出名。实际学习数据恢复时，将 --source 改为已停写的学习库，仍保持新输出。</w:t>
      </w:r>
    </w:p>
    <w:p>
      <w:r>
        <w:t>Инструмент использует SQLite backup API, затем восстанавливает копию в новый файл. В примере две синтетические учебные записи; при повторе нужны новые имена. Для учебной БД заменить --source на остановленный исходник, сохраняя новые выходные файлы.</w:t>
      </w:r>
    </w:p>
    <w:p>
      <w:pPr>
        <w:spacing w:after="20" w:line="240" w:lineRule="auto"/>
      </w:pPr>
      <w:r>
        <w:rPr>
          <w:rFonts w:ascii="Courier New" w:hAnsi="Courier New"/>
          <w:sz w:val="17"/>
        </w:rPr>
        <w:t>.venv/bin/python 07-admin-guide/sqlite-backup-restore.py \</w:t>
      </w:r>
    </w:p>
    <w:p>
      <w:pPr>
        <w:spacing w:after="20" w:line="240" w:lineRule="auto"/>
      </w:pPr>
      <w:r>
        <w:rPr>
          <w:rFonts w:ascii="Courier New" w:hAnsi="Courier New"/>
          <w:sz w:val="17"/>
        </w:rPr>
        <w:t xml:space="preserve">  --source 07-admin-guide/artifacts/recovery-demo/source-demo.sqlite \</w:t>
      </w:r>
    </w:p>
    <w:p>
      <w:pPr>
        <w:spacing w:after="20" w:line="240" w:lineRule="auto"/>
      </w:pPr>
      <w:r>
        <w:rPr>
          <w:rFonts w:ascii="Courier New" w:hAnsi="Courier New"/>
          <w:sz w:val="17"/>
        </w:rPr>
        <w:t xml:space="preserve">  --backup 07-admin-guide/artifacts/recovery-demo/backup-new-01.sqlite \</w:t>
      </w:r>
    </w:p>
    <w:p>
      <w:pPr>
        <w:spacing w:after="20" w:line="240" w:lineRule="auto"/>
      </w:pPr>
      <w:r>
        <w:rPr>
          <w:rFonts w:ascii="Courier New" w:hAnsi="Courier New"/>
          <w:sz w:val="17"/>
        </w:rPr>
        <w:t xml:space="preserve">  --restore 07-admin-guide/artifacts/recovery-demo/restored-new-01.sqlite</w:t>
      </w:r>
    </w:p>
    <w:p>
      <w:pPr>
        <w:keepNext/>
      </w:pPr>
      <w:r>
        <w:t>工具在源、备份和恢复候选上执行 integrity_check，并确认源主文件哈希未变。检查需要的表与记录；确认仅为当前无业务表骨架或教学库后，可把学习副本 .env 的 DATABASE_URL 指向恢复候选的绝对路径，再按 AG-P02、AG-P03 重启并复核。此切换本次未执行。</w:t>
      </w:r>
    </w:p>
    <w:p>
      <w:r>
        <w:t>Инструмент выполняет integrity_check исходника, копии и кандидата, проверяя неизменность хеша исходного файла. Сверить нужные таблицы и записи. Только для текущего каркаса без бизнес-таблиц или учебной БД можно задать абсолютный путь кандидата в DATABASE_URL учебного .env, перезапустить AG-P02 и проверить AG-P03. Сейчас переключение не выполнялось.</w:t>
      </w:r>
    </w:p>
    <w:p>
      <w:pPr>
        <w:pStyle w:val="Heading2"/>
      </w:pPr>
      <w:r>
        <w:t>8.3 预期结果</w:t>
      </w:r>
    </w:p>
    <w:p>
      <w:pPr>
        <w:pStyle w:val="Heading3"/>
      </w:pPr>
      <w:r>
        <w:t>8.3 Ожидаемый результат</w:t>
      </w:r>
    </w:p>
    <w:p>
      <w:pPr>
        <w:keepNext/>
      </w:pPr>
      <w:r>
        <w:t>输出 backup_integrity=ok、restored_integrity=ok、source_unchanged=true；原文件不变，备份及恢复候选独立存在。本次演练另核对两条合成记录完整一致，并验证重复输出和包外路径均被拒绝。activation 与 domain_acceptance 为 NOT_RUN。</w:t>
      </w:r>
    </w:p>
    <w:p>
      <w:r>
        <w:t>Ожидаются backup_integrity=ok, restored_integrity=ok, source_unchanged=true; исходник сохранён, копия и кандидат отдельны. В упражнении также совпали обе записи; повторные имена и пути вне пакета отклонены. activation и domain_acceptance — NOT_RUN.</w:t>
      </w:r>
    </w:p>
    <w:p>
      <w:pPr>
        <w:pStyle w:val="Heading2"/>
      </w:pPr>
      <w:r>
        <w:t>8.4 失败处理与回退</w:t>
      </w:r>
    </w:p>
    <w:p>
      <w:pPr>
        <w:pStyle w:val="Heading3"/>
      </w:pPr>
      <w:r>
        <w:t>8.4 При неуспехе и возврат</w:t>
      </w:r>
    </w:p>
    <w:p>
      <w:pPr>
        <w:keepNext/>
      </w:pPr>
      <w:r>
        <w:t>完整性检查、数据核对或启动检查失败时，不激活候选。若已切换学习配置，先停服务，再还原此前保存的 DATABASE_URL，按 AG-P02、AG-P03 启动和复核。保留原库、备份和失败候选，不覆盖原数据，不用自动删库修复。</w:t>
      </w:r>
    </w:p>
    <w:p>
      <w:r>
        <w:t>При сбое целостности, сверки или запуска кандидат не активировать. Если учебная конфигурация уже переключена, остановить сервисы, вернуть сохранённый DATABASE_URL и повторить AG-P02/AG-P03. Сохранить исходник, копию и сбойный кандидат; без перезаписи или автоматического удаления БД.</w:t>
      </w:r>
    </w:p>
    <w:p>
      <w:pPr>
        <w:keepNext/>
      </w:pPr>
      <w:r>
        <w:t>目标策略为每日备份保留最近 7 份；恢复后先运行到期数据清理再开放。现阶段未实现业务清理与迁移，因此本工具仅支持无真实学生数据的本地演练，不能据此开放恢复的真实业务数据。生产 PostgreSQL 的迁移、回滚、备份与恢复仍需独立实现和验证。</w:t>
      </w:r>
    </w:p>
    <w:p>
      <w:r>
        <w:t>Целевая политика: семь последних ежедневных копий и очистка истёкших данных перед открытием восстановленной системы. Бизнес-очистка и миграции ещё не реализованы, поэтому инструмент только для локальных упражнений без реальных данных студентов. PostgreSQL, миграция, откат и восстановление требуют отдельной реализации и проверки.</w:t>
      </w:r>
    </w:p>
    <w:p>
      <w:r>
        <w:br w:type="page"/>
      </w:r>
    </w:p>
    <w:p>
      <w:pPr>
        <w:pStyle w:val="Heading1"/>
      </w:pPr>
      <w:r>
        <w:t>9 限制</w:t>
      </w:r>
    </w:p>
    <w:p>
      <w:pPr>
        <w:pStyle w:val="Heading2"/>
      </w:pPr>
      <w:r>
        <w:t>9 Ограничения</w:t>
      </w:r>
    </w:p>
    <w:p>
      <w:pPr>
        <w:keepNext/>
      </w:pPr>
      <w:r>
        <w:t>已验证范围：R10 的后端依赖安装、R11 的 8 项进程内基础测试，以及 R12 的两条合成记录恢复。Word 排版检查与这些运行证据分别记录。完整前端安装、服务启动、真实 HTTP/浏览器、容器运行及恢复后配置切换本次未执行。</w:t>
      </w:r>
    </w:p>
    <w:p>
      <w:r>
        <w:t>Проверены прежняя установка сервера R10, восемь базовых тестов TestClient R11 и восстановление двух синтетических записей R12. Проверка Word ведётся отдельно. Полная установка клиента, сервисы, реальные HTTP/браузер, контейнеры и переключение восстановленного файла сейчас не выполнялись.</w:t>
      </w:r>
    </w:p>
    <w:p>
      <w:pPr>
        <w:keepNext/>
      </w:pPr>
      <w:r>
        <w:t>学校来源 OPEN-003、部署位置和域名 OPEN-010 仍待补；教师起始包与原始意见清单仍缺失。3.4.3 指南身份已由用户确认。健康或恢复演练通过不改变业务 TC 的 NOT_RUN，也不代表验收或生产可用。</w:t>
      </w:r>
    </w:p>
    <w:p>
      <w:r>
        <w:t>Источник вуза OPEN-003, сервер и домен OPEN-010 остаются открытыми; архив преподавателя и исходные замечания отсутствуют. Руководство 3.4.3 подтверждено пользователем. Проверка health или упражнение восстановления не меняют бизнес-TC NOT_RUN и не означают приёмку.</w:t>
      </w:r>
    </w:p>
    <w:p>
      <w:pPr>
        <w:pStyle w:val="Heading1"/>
      </w:pPr>
      <w:r>
        <w:t>10 变更历史</w:t>
      </w:r>
    </w:p>
    <w:p>
      <w:pPr>
        <w:pStyle w:val="Heading2"/>
      </w:pPr>
      <w:r>
        <w:t>10 История изменений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1417"/>
        <w:gridCol w:w="6123"/>
        <w:gridCol w:w="1417"/>
      </w:tblGrid>
      <w:tr>
        <w:trPr>
          <w:tblHeader/>
          <w:cantSplit/>
        </w:trPr>
        <w:tc>
          <w:tcPr>
            <w:tcW w:type="dxa" w:w="113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7EDF3"/>
          </w:tcPr>
          <w:p>
            <w:pPr>
              <w:spacing w:after="40" w:line="240" w:lineRule="auto"/>
            </w:pPr>
            <w:r>
              <w:rPr>
                <w:rFonts w:ascii="Arial" w:hAnsi="Arial" w:eastAsia="PingFang SC"/>
                <w:b/>
                <w:sz w:val="18"/>
              </w:rPr>
              <w:t>版本 / Версия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7EDF3"/>
          </w:tcPr>
          <w:p>
            <w:pPr>
              <w:spacing w:after="40" w:line="240" w:lineRule="auto"/>
            </w:pPr>
            <w:r>
              <w:rPr>
                <w:rFonts w:ascii="Arial" w:hAnsi="Arial" w:eastAsia="PingFang SC"/>
                <w:b/>
                <w:sz w:val="18"/>
              </w:rPr>
              <w:t>日期 / Дата</w:t>
            </w:r>
          </w:p>
        </w:tc>
        <w:tc>
          <w:tcPr>
            <w:tcW w:type="dxa" w:w="6123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7EDF3"/>
          </w:tcPr>
          <w:p>
            <w:pPr>
              <w:spacing w:after="40" w:line="240" w:lineRule="auto"/>
            </w:pPr>
            <w:r>
              <w:rPr>
                <w:rFonts w:ascii="Arial" w:hAnsi="Arial" w:eastAsia="PingFang SC"/>
                <w:b/>
                <w:sz w:val="18"/>
              </w:rPr>
              <w:t>变更 / Изменение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7EDF3"/>
          </w:tcPr>
          <w:p>
            <w:pPr>
              <w:spacing w:after="40" w:line="240" w:lineRule="auto"/>
            </w:pPr>
            <w:r>
              <w:rPr>
                <w:rFonts w:ascii="Arial" w:hAnsi="Arial" w:eastAsia="PingFang SC"/>
                <w:b/>
                <w:sz w:val="18"/>
              </w:rPr>
              <w:t>状态 / Статус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0.1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2026-10-21</w:t>
            </w:r>
          </w:p>
        </w:tc>
        <w:tc>
          <w:tcPr>
            <w:tcW w:type="dxa" w:w="6123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从既有架构形成 8 章指南，增加参数、诊断、恢复演练及追溯</w:t>
              <w:br/>
              <w:t>8 глав по архитектуре, параметры, диагностика, восстановление и трассировка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DRAFT</w:t>
            </w:r>
          </w:p>
        </w:tc>
      </w:tr>
    </w:tbl>
    <w:p>
      <w:pPr>
        <w:pStyle w:val="Heading2"/>
      </w:pPr>
      <w:r>
        <w:t>10.1 依据与证据索引</w:t>
      </w:r>
    </w:p>
    <w:p>
      <w:pPr>
        <w:pStyle w:val="Heading3"/>
      </w:pPr>
      <w:r>
        <w:t>10.1 Источники и свидетельства</w:t>
      </w:r>
    </w:p>
    <w:p>
      <w:r>
        <w:t>R01 NFR-001、003、005、007、008 需求登记 / Реестр требований</w:t>
        <w:br/>
        <w:t>00-project/docs/data/requirements.json</w:t>
      </w:r>
    </w:p>
    <w:p>
      <w:r>
        <w:t>R02 ADR-0001 模块化单体 / Модульный монолит</w:t>
        <w:br/>
        <w:t>00-project/docs/decisions/zh-CN/0001-simple-monolith.md</w:t>
      </w:r>
    </w:p>
    <w:p>
      <w:r>
        <w:t>R03 ADR-0002 数据库边界 / Границы БД</w:t>
        <w:br/>
        <w:t>00-project/docs/decisions/zh-CN/0002-sqlite-postgresql.md</w:t>
      </w:r>
    </w:p>
    <w:p>
      <w:r>
        <w:t>R04 ADR-0004 目标部署 / Целевое размещение</w:t>
        <w:br/>
        <w:t>00-project/docs/decisions/zh-CN/0004-docker-https.md</w:t>
      </w:r>
    </w:p>
    <w:p>
      <w:r>
        <w:t>R05 运行配置 / Конфигурация</w:t>
        <w:br/>
        <w:t>00-project/backend/app/config.py</w:t>
      </w:r>
    </w:p>
    <w:p>
      <w:r>
        <w:t>R06 健康与就绪 / Health и readiness</w:t>
        <w:br/>
        <w:t>00-project/backend/app/main.py</w:t>
      </w:r>
    </w:p>
    <w:p>
      <w:r>
        <w:t>R07 前端代理与端口 / Прокси и порты</w:t>
        <w:br/>
        <w:t>00-project/frontend/vite.config.ts</w:t>
      </w:r>
    </w:p>
    <w:p>
      <w:r>
        <w:t>R08 Python 与锁定依赖 / Python и зависимости</w:t>
        <w:br/>
        <w:t>00-project/backend/pyproject.toml</w:t>
      </w:r>
    </w:p>
    <w:p>
      <w:r>
        <w:t>R09 本地 Compose / Локальный Compose</w:t>
        <w:br/>
        <w:t>00-project/compose.yaml</w:t>
      </w:r>
    </w:p>
    <w:p>
      <w:r>
        <w:t>R10 第 1 部分环境证据 / Среда части 1</w:t>
        <w:br/>
        <w:t>artifacts/environment-check.json</w:t>
      </w:r>
    </w:p>
    <w:p>
      <w:r>
        <w:t>R11 第 2 部分基础测试 / Базовые тесты части 2</w:t>
        <w:br/>
        <w:t>06-architecture-guide/artifacts/foundation-tests.log</w:t>
      </w:r>
    </w:p>
    <w:p>
      <w:r>
        <w:t>R12 本次恢复演练 / Текущее упражнение</w:t>
        <w:br/>
        <w:t>07-admin-guide/artifacts/recovery-verification.json</w:t>
      </w:r>
    </w:p>
    <w:p>
      <w:r>
        <w:t>R13 随包恢复工具 / Инструмент восстановления</w:t>
        <w:br/>
        <w:t>07-admin-guide/sqlite-backup-restore.py</w:t>
      </w:r>
    </w:p>
    <w:p>
      <w:pPr>
        <w:keepNext/>
      </w:pPr>
      <w:r>
        <w:t>ADR 与需求均有配对俄文版本：ADR 见 docs/decisions/ru-RU，需求见 docs/ru-RU/14_Requirements_Register.md；以上路径均相对于本学习包根目录的 00-project。NFR 描述表示目标与约束，不自动表示已实现。</w:t>
      </w:r>
    </w:p>
    <w:p>
      <w:r>
        <w:t>Парные русские ADR находятся в docs/decisions/ru-RU, реестр — docs/ru-RU/14_Requirements_Register.md внутри 00-project. NFR задают цели и ограничения, а не автоматически реализованные свойства.</w:t>
      </w:r>
    </w:p>
    <w:sectPr w:rsidR="00FC693F" w:rsidRPr="0006063C" w:rsidSect="00034616">
      <w:footerReference w:type="default" r:id="rId9"/>
      <w:pgSz w:w="11906" w:h="16838"/>
      <w:pgMar w:top="794" w:right="907" w:bottom="850" w:left="907" w:header="720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SS-DAC-ADMIN-01  DRAFT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5" w:lineRule="auto"/>
    </w:pPr>
    <w:rPr>
      <w:rFonts w:ascii="Arial" w:hAnsi="Arial" w:eastAsia="PingFang SC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80" w:line="245" w:lineRule="auto"/>
      <w:outlineLvl w:val="0"/>
    </w:pPr>
    <w:rPr>
      <w:rFonts w:asciiTheme="majorHAnsi" w:eastAsiaTheme="majorEastAsia" w:hAnsiTheme="majorHAnsi" w:cstheme="majorBidi" w:ascii="Arial" w:hAnsi="Arial" w:eastAsia="PingFang SC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80" w:line="245" w:lineRule="auto"/>
      <w:outlineLvl w:val="1"/>
    </w:pPr>
    <w:rPr>
      <w:rFonts w:asciiTheme="majorHAnsi" w:eastAsiaTheme="majorEastAsia" w:hAnsiTheme="majorHAnsi" w:cstheme="majorBidi" w:ascii="Arial" w:hAnsi="Arial" w:eastAsia="PingFang SC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80" w:line="245" w:lineRule="auto"/>
      <w:outlineLvl w:val="2"/>
    </w:pPr>
    <w:rPr>
      <w:rFonts w:asciiTheme="majorHAnsi" w:eastAsiaTheme="majorEastAsia" w:hAnsiTheme="majorHAnsi" w:cstheme="majorBidi" w:ascii="Arial" w:hAnsi="Arial" w:eastAsia="PingFang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5" w:lineRule="auto"/>
      <w:contextualSpacing/>
    </w:pPr>
    <w:rPr>
      <w:rFonts w:asciiTheme="majorHAnsi" w:eastAsiaTheme="majorEastAsia" w:hAnsiTheme="majorHAnsi" w:cstheme="majorBidi" w:ascii="Arial" w:hAnsi="Arial" w:eastAsia="PingFang SC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80" w:line="245" w:lineRule="auto"/>
    </w:pPr>
    <w:rPr>
      <w:rFonts w:asciiTheme="majorHAnsi" w:eastAsiaTheme="majorEastAsia" w:hAnsiTheme="majorHAnsi" w:cstheme="majorBidi" w:ascii="Arial" w:hAnsi="Arial" w:eastAsia="PingFang SC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StudySpace 管理员指南</dc:title>
  <dc:subject/>
  <dc:creator>StudySpace 课程小组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