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34A4A" w14:textId="1988BD82" w:rsidR="00F278D7" w:rsidRPr="00FB07AC" w:rsidRDefault="004106AC" w:rsidP="008F061B">
      <w:pPr>
        <w:pStyle w:val="1TITLE"/>
        <w:spacing w:after="120"/>
        <w:rPr>
          <w:noProof/>
        </w:rPr>
      </w:pPr>
      <w:r>
        <w:rPr>
          <w:noProof/>
        </w:rPr>
        <w:t xml:space="preserve">Simple Recurrent Neural Networks is all we need </w:t>
      </w:r>
      <w:r>
        <w:t>for clinical events predictions using EHR data</w:t>
      </w:r>
    </w:p>
    <w:p w14:paraId="20FABB6C" w14:textId="0D2D5302" w:rsidR="00FF7BDC" w:rsidRPr="00C03464" w:rsidRDefault="00F278D7" w:rsidP="008F061B">
      <w:pPr>
        <w:pStyle w:val="2Authors"/>
        <w:spacing w:after="120"/>
      </w:pPr>
      <w:r>
        <w:t xml:space="preserve">Laila Rasmy </w:t>
      </w:r>
      <w:r w:rsidR="001F49F3" w:rsidRPr="000675B1">
        <w:rPr>
          <w:noProof/>
          <w:vertAlign w:val="superscript"/>
        </w:rPr>
        <w:t>a</w:t>
      </w:r>
      <w:r w:rsidR="00BB2665">
        <w:t>,</w:t>
      </w:r>
      <w:r w:rsidR="004106AC" w:rsidRPr="004106AC">
        <w:t xml:space="preserve"> </w:t>
      </w:r>
      <w:r w:rsidR="004106AC">
        <w:t xml:space="preserve">Jie Zhu </w:t>
      </w:r>
      <w:r w:rsidR="008F061B">
        <w:rPr>
          <w:noProof/>
          <w:vertAlign w:val="superscript"/>
        </w:rPr>
        <w:t>b</w:t>
      </w:r>
      <w:r w:rsidR="004106AC">
        <w:t>,</w:t>
      </w:r>
      <w:r w:rsidR="004106AC" w:rsidRPr="004106AC">
        <w:t xml:space="preserve"> Zhiheng </w:t>
      </w:r>
      <w:r w:rsidR="004106AC" w:rsidRPr="00142CDF">
        <w:rPr>
          <w:noProof/>
        </w:rPr>
        <w:t xml:space="preserve">Li </w:t>
      </w:r>
      <w:r w:rsidR="008F061B">
        <w:rPr>
          <w:noProof/>
          <w:vertAlign w:val="superscript"/>
        </w:rPr>
        <w:t>c</w:t>
      </w:r>
      <w:r w:rsidR="004106AC" w:rsidRPr="004106AC">
        <w:t xml:space="preserve">, </w:t>
      </w:r>
      <w:r w:rsidR="008F061B">
        <w:t>Xin Hao</w:t>
      </w:r>
      <w:r w:rsidR="008F061B" w:rsidRPr="008F061B">
        <w:rPr>
          <w:noProof/>
          <w:vertAlign w:val="superscript"/>
        </w:rPr>
        <w:t xml:space="preserve"> </w:t>
      </w:r>
      <w:r w:rsidR="008F061B">
        <w:rPr>
          <w:noProof/>
          <w:vertAlign w:val="superscript"/>
        </w:rPr>
        <w:t>d</w:t>
      </w:r>
      <w:r w:rsidR="008F061B" w:rsidRPr="004106AC">
        <w:t>,</w:t>
      </w:r>
      <w:r w:rsidR="008F061B">
        <w:t xml:space="preserve"> </w:t>
      </w:r>
      <w:r w:rsidR="004106AC" w:rsidRPr="004106AC">
        <w:t>Hong Thoai Tran</w:t>
      </w:r>
      <w:r w:rsidR="004106AC" w:rsidRPr="004106AC">
        <w:rPr>
          <w:noProof/>
          <w:vertAlign w:val="superscript"/>
        </w:rPr>
        <w:t xml:space="preserve"> </w:t>
      </w:r>
      <w:r w:rsidR="008F061B">
        <w:rPr>
          <w:noProof/>
          <w:vertAlign w:val="superscript"/>
        </w:rPr>
        <w:t>b</w:t>
      </w:r>
      <w:r w:rsidR="004106AC" w:rsidRPr="00142CDF">
        <w:rPr>
          <w:noProof/>
        </w:rPr>
        <w:t>,</w:t>
      </w:r>
      <w:r w:rsidR="00142CDF">
        <w:rPr>
          <w:noProof/>
        </w:rPr>
        <w:t xml:space="preserve"> </w:t>
      </w:r>
      <w:r w:rsidR="002D2741" w:rsidRPr="00142CDF">
        <w:rPr>
          <w:noProof/>
        </w:rPr>
        <w:t>Yujia</w:t>
      </w:r>
      <w:r w:rsidR="002D2741">
        <w:t xml:space="preserve"> Zhou</w:t>
      </w:r>
      <w:r w:rsidR="002D2741" w:rsidRPr="002D2741">
        <w:rPr>
          <w:noProof/>
          <w:vertAlign w:val="superscript"/>
        </w:rPr>
        <w:t xml:space="preserve"> </w:t>
      </w:r>
      <w:r w:rsidR="002D2741" w:rsidRPr="000675B1">
        <w:rPr>
          <w:noProof/>
          <w:vertAlign w:val="superscript"/>
        </w:rPr>
        <w:t>a</w:t>
      </w:r>
      <w:r w:rsidR="002D2741">
        <w:t xml:space="preserve">, Firat </w:t>
      </w:r>
      <w:r w:rsidR="00843CD9">
        <w:t>Tiryaki</w:t>
      </w:r>
      <w:r w:rsidR="00843CD9" w:rsidRPr="002D2741">
        <w:rPr>
          <w:noProof/>
          <w:vertAlign w:val="superscript"/>
        </w:rPr>
        <w:t xml:space="preserve"> </w:t>
      </w:r>
      <w:r w:rsidR="002D2741" w:rsidRPr="00142CDF">
        <w:rPr>
          <w:noProof/>
          <w:vertAlign w:val="superscript"/>
        </w:rPr>
        <w:t>a</w:t>
      </w:r>
      <w:r w:rsidR="002D2741" w:rsidRPr="00142CDF">
        <w:rPr>
          <w:noProof/>
        </w:rPr>
        <w:t>,</w:t>
      </w:r>
      <w:r w:rsidR="00142CDF" w:rsidRPr="00142CDF">
        <w:t xml:space="preserve"> </w:t>
      </w:r>
      <w:r w:rsidR="00142CDF">
        <w:t>Yang Xiang</w:t>
      </w:r>
      <w:r w:rsidR="00142CDF" w:rsidRPr="00142CDF">
        <w:rPr>
          <w:noProof/>
          <w:vertAlign w:val="superscript"/>
        </w:rPr>
        <w:t xml:space="preserve"> a</w:t>
      </w:r>
      <w:r w:rsidR="00142CDF" w:rsidRPr="00142CDF">
        <w:rPr>
          <w:noProof/>
        </w:rPr>
        <w:t>,</w:t>
      </w:r>
      <w:r w:rsidR="00536DB5">
        <w:t xml:space="preserve"> Hua Xu</w:t>
      </w:r>
      <w:r w:rsidR="00F95EFB" w:rsidRPr="002D2741">
        <w:rPr>
          <w:noProof/>
          <w:vertAlign w:val="superscript"/>
        </w:rPr>
        <w:t xml:space="preserve"> </w:t>
      </w:r>
      <w:r w:rsidR="00F95EFB" w:rsidRPr="000675B1">
        <w:rPr>
          <w:noProof/>
          <w:vertAlign w:val="superscript"/>
        </w:rPr>
        <w:t>a</w:t>
      </w:r>
      <w:r w:rsidR="004106AC">
        <w:t>,</w:t>
      </w:r>
      <w:r w:rsidR="00BB2665">
        <w:t xml:space="preserve"> </w:t>
      </w:r>
      <w:r>
        <w:t>Degui Zhi</w:t>
      </w:r>
      <w:r w:rsidR="00DD2314">
        <w:t xml:space="preserve"> </w:t>
      </w:r>
      <w:r w:rsidR="00DD2314">
        <w:rPr>
          <w:vertAlign w:val="superscript"/>
        </w:rPr>
        <w:t>a</w:t>
      </w:r>
      <w:r w:rsidR="004106AC">
        <w:rPr>
          <w:vertAlign w:val="superscript"/>
        </w:rPr>
        <w:t xml:space="preserve"> </w:t>
      </w:r>
    </w:p>
    <w:p w14:paraId="32E66F1B" w14:textId="1ED62A5A" w:rsidR="00392AFA" w:rsidRDefault="00FF7BDC" w:rsidP="002E0A82">
      <w:pPr>
        <w:pStyle w:val="3Affiliations"/>
      </w:pPr>
      <w:r w:rsidRPr="00FB07AC">
        <w:rPr>
          <w:b/>
          <w:bCs/>
          <w:iCs/>
          <w:noProof/>
          <w:vertAlign w:val="superscript"/>
        </w:rPr>
        <w:t>a</w:t>
      </w:r>
      <w:r w:rsidR="002E3E86" w:rsidRPr="00FB07AC">
        <w:rPr>
          <w:b/>
          <w:bCs/>
          <w:iCs/>
          <w:noProof/>
          <w:vertAlign w:val="superscript"/>
        </w:rPr>
        <w:t xml:space="preserve"> </w:t>
      </w:r>
      <w:r w:rsidR="00F278D7">
        <w:t>School</w:t>
      </w:r>
      <w:r w:rsidR="00BB2665">
        <w:t xml:space="preserve"> of Biomedical Informatics, University </w:t>
      </w:r>
      <w:r w:rsidR="00F278D7">
        <w:t>of Texas Health Science Center at Houston</w:t>
      </w:r>
      <w:r w:rsidR="00BB2665">
        <w:t>,</w:t>
      </w:r>
      <w:r w:rsidR="0031795D">
        <w:t xml:space="preserve"> </w:t>
      </w:r>
      <w:r w:rsidR="00F278D7">
        <w:t>Texas</w:t>
      </w:r>
      <w:r w:rsidR="0031795D">
        <w:t>,</w:t>
      </w:r>
      <w:r w:rsidR="00BB2665">
        <w:t xml:space="preserve"> </w:t>
      </w:r>
      <w:r w:rsidR="00F278D7">
        <w:t>USA</w:t>
      </w:r>
      <w:r w:rsidR="00142CDF">
        <w:t>,</w:t>
      </w:r>
      <w:r w:rsidR="00BB2665">
        <w:t xml:space="preserve"> </w:t>
      </w:r>
    </w:p>
    <w:p w14:paraId="6DD391A6" w14:textId="0010339F" w:rsidR="008F061B" w:rsidRDefault="008F061B" w:rsidP="008F061B">
      <w:pPr>
        <w:pStyle w:val="3Affiliations"/>
      </w:pPr>
      <w:r>
        <w:rPr>
          <w:b/>
          <w:bCs/>
          <w:iCs/>
          <w:noProof/>
          <w:vertAlign w:val="superscript"/>
        </w:rPr>
        <w:t>b</w:t>
      </w:r>
      <w:r w:rsidRPr="00FB07AC">
        <w:rPr>
          <w:b/>
          <w:bCs/>
          <w:iCs/>
          <w:noProof/>
          <w:vertAlign w:val="superscript"/>
        </w:rPr>
        <w:t xml:space="preserve"> </w:t>
      </w:r>
      <w:r>
        <w:t>School</w:t>
      </w:r>
      <w:r>
        <w:t xml:space="preserve"> of Public Health</w:t>
      </w:r>
      <w:r>
        <w:t xml:space="preserve">, University of Texas Health Science Center at Houston, Texas, USA, </w:t>
      </w:r>
    </w:p>
    <w:p w14:paraId="78F65170" w14:textId="26DA233A" w:rsidR="00142CDF" w:rsidRDefault="008F061B" w:rsidP="00142CDF">
      <w:pPr>
        <w:pStyle w:val="3Affiliations"/>
      </w:pPr>
      <w:r>
        <w:rPr>
          <w:b/>
          <w:bCs/>
          <w:iCs/>
          <w:noProof/>
          <w:vertAlign w:val="superscript"/>
        </w:rPr>
        <w:t>c</w:t>
      </w:r>
      <w:r w:rsidR="00142CDF" w:rsidRPr="00FB07AC">
        <w:rPr>
          <w:b/>
          <w:bCs/>
          <w:iCs/>
          <w:noProof/>
          <w:vertAlign w:val="superscript"/>
        </w:rPr>
        <w:t xml:space="preserve"> </w:t>
      </w:r>
      <w:r w:rsidR="00142CDF" w:rsidRPr="00537915">
        <w:t>School of Computer Science and Technology, Dalian University of Technology, Dalian, China</w:t>
      </w:r>
      <w:r>
        <w:t>,</w:t>
      </w:r>
    </w:p>
    <w:p w14:paraId="490C7955" w14:textId="316B4578" w:rsidR="008F061B" w:rsidRDefault="008F061B" w:rsidP="008F061B">
      <w:pPr>
        <w:pStyle w:val="3Affiliations"/>
      </w:pPr>
      <w:r>
        <w:rPr>
          <w:b/>
          <w:bCs/>
          <w:iCs/>
          <w:noProof/>
          <w:vertAlign w:val="superscript"/>
        </w:rPr>
        <w:t>d</w:t>
      </w:r>
      <w:r w:rsidRPr="00FB07AC">
        <w:rPr>
          <w:b/>
          <w:bCs/>
          <w:iCs/>
          <w:noProof/>
          <w:vertAlign w:val="superscript"/>
        </w:rPr>
        <w:t xml:space="preserve"> </w:t>
      </w:r>
      <w:r>
        <w:t>Computer Science Department, S</w:t>
      </w:r>
      <w:r>
        <w:t>chool</w:t>
      </w:r>
      <w:r>
        <w:t xml:space="preserve"> of Engineering</w:t>
      </w:r>
      <w:r>
        <w:t xml:space="preserve">, </w:t>
      </w:r>
      <w:r>
        <w:t>Rice University</w:t>
      </w:r>
      <w:r>
        <w:t xml:space="preserve">, Texas, USA, </w:t>
      </w:r>
    </w:p>
    <w:p w14:paraId="19861CD3" w14:textId="77777777" w:rsidR="008F061B" w:rsidRDefault="008F061B" w:rsidP="00142CDF">
      <w:pPr>
        <w:pStyle w:val="3Affiliations"/>
      </w:pPr>
    </w:p>
    <w:p w14:paraId="7B99E284" w14:textId="77777777" w:rsidR="002E0A82" w:rsidRPr="00FB07AC" w:rsidRDefault="002E0A82" w:rsidP="002E0A82">
      <w:pPr>
        <w:pStyle w:val="3Affiliations"/>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220B052F" w14:textId="77777777" w:rsidR="00E25618" w:rsidRDefault="00392AFA" w:rsidP="008F3AF0">
      <w:pPr>
        <w:pStyle w:val="7KeywordHeader"/>
      </w:pPr>
      <w:r w:rsidRPr="00FB07AC">
        <w:lastRenderedPageBreak/>
        <w:t>Keywords</w:t>
      </w:r>
      <w:r w:rsidR="00B25DA6" w:rsidRPr="00FB07AC">
        <w:t xml:space="preserve">: </w:t>
      </w:r>
    </w:p>
    <w:p w14:paraId="40DDFCC1" w14:textId="333F00CE" w:rsidR="00C74704" w:rsidRPr="00C74704" w:rsidRDefault="00F95EFB" w:rsidP="00C74704">
      <w:pPr>
        <w:pStyle w:val="8KeywordList"/>
        <w:jc w:val="both"/>
      </w:pPr>
      <w:r>
        <w:t xml:space="preserve">Deep Learning, </w:t>
      </w:r>
      <w:r w:rsidR="00C74704" w:rsidRPr="00C74704">
        <w:t>Patient-Specific Modeling</w:t>
      </w:r>
      <w:r w:rsidR="00C74704">
        <w:t xml:space="preserve">, </w:t>
      </w:r>
      <w:r w:rsidR="00C74704" w:rsidRPr="00C74704">
        <w:t>Electronic Health Records</w:t>
      </w:r>
    </w:p>
    <w:p w14:paraId="7CDBEC36" w14:textId="77777777" w:rsidR="00392AFA" w:rsidRPr="00FB07AC" w:rsidRDefault="008F30A7" w:rsidP="0061081C">
      <w:pPr>
        <w:pStyle w:val="ALevelOneHeader"/>
      </w:pPr>
      <w:r>
        <w:t>Introduction</w:t>
      </w:r>
    </w:p>
    <w:p w14:paraId="49A3325F" w14:textId="438F5AA2" w:rsidR="00E86083" w:rsidRDefault="00DD6330" w:rsidP="008F061B">
      <w:pPr>
        <w:spacing w:beforeLines="60" w:before="144" w:after="60"/>
        <w:jc w:val="both"/>
      </w:pPr>
      <w:r>
        <w:t xml:space="preserve">Recently </w:t>
      </w:r>
      <w:r w:rsidR="00F95EFB">
        <w:t xml:space="preserve">it is of great interest to investigate the application of </w:t>
      </w:r>
      <w:r>
        <w:t xml:space="preserve">deep learning models </w:t>
      </w:r>
      <w:r w:rsidR="00F95EFB">
        <w:t xml:space="preserve">for the </w:t>
      </w:r>
      <w:r>
        <w:t>predict</w:t>
      </w:r>
      <w:r w:rsidR="00F95EFB">
        <w:t>ion of</w:t>
      </w:r>
      <w:r>
        <w:t xml:space="preserve"> clinical events </w:t>
      </w:r>
      <w:r w:rsidR="00F95EFB">
        <w:t xml:space="preserve">using </w:t>
      </w:r>
      <w:r>
        <w:t>elec</w:t>
      </w:r>
      <w:r w:rsidR="00FB3D01">
        <w:t>tronic health records (EHR) data</w:t>
      </w:r>
      <w:r>
        <w:t xml:space="preserve">. </w:t>
      </w:r>
      <w:r w:rsidR="00F95EFB">
        <w:t xml:space="preserve">In EHR data, the longitudinal history of a patient is </w:t>
      </w:r>
      <w:r>
        <w:t xml:space="preserve">often represented as sequence data, where each patient can be represented as a sequence of visits, and each visit contains multiple events. </w:t>
      </w:r>
      <w:r w:rsidR="00F95EFB">
        <w:t xml:space="preserve">As a result, </w:t>
      </w:r>
      <w:r>
        <w:t xml:space="preserve">deep learning models developed for sequence modeling, </w:t>
      </w:r>
      <w:r w:rsidR="00F95EFB">
        <w:t>especially r</w:t>
      </w:r>
      <w:r>
        <w:t xml:space="preserve">ecurrent neural networks </w:t>
      </w:r>
      <w:r w:rsidR="00EC4C28">
        <w:t>(RNN</w:t>
      </w:r>
      <w:r w:rsidR="00F95EFB">
        <w:t>s</w:t>
      </w:r>
      <w:r w:rsidR="00EC4C28">
        <w:t>)</w:t>
      </w:r>
      <w:r w:rsidR="00F95EFB">
        <w:t xml:space="preserve">, </w:t>
      </w:r>
      <w:r w:rsidR="001E20BE">
        <w:t xml:space="preserve">were developed </w:t>
      </w:r>
      <w:r>
        <w:t xml:space="preserve">for EHR-based </w:t>
      </w:r>
      <w:r w:rsidR="001E20BE">
        <w:t xml:space="preserve">clinical events </w:t>
      </w:r>
      <w:r w:rsidR="00FB3D01">
        <w:t xml:space="preserve">prediction </w:t>
      </w:r>
      <w:r w:rsidR="00FB3D01">
        <w:fldChar w:fldCharType="begin" w:fldLock="1"/>
      </w:r>
      <w:r w:rsidR="00FB3D01">
        <w:instrText>ADDIN CSL_CITATION {"citationItems":[{"id":"ITEM-1","itemData":{"DOI":"10.1093/jamia/ocy068","ISSN":"1067-5027","author":[{"dropping-particle":"","family":"Xiao","given":"Cao","non-dropping-particle":"","parse-names":false,"suffix":""},{"dropping-particle":"","family":"Choi","given":"Edward","non-dropping-particle":"","parse-names":false,"suffix":""},{"dropping-particle":"","family":"Sun","given":"Jimeng","non-dropping-particle":"","parse-names":false,"suffix":""}],"container-title":"Journal of the American Medical Informatics Association","id":"ITEM-1","issued":{"date-parts":[["2018","6","8"]]},"title":"Opportunities and challenges in developing deep learning models using electronic health records data: a systematic review","type":"article-journal"},"uris":["http://www.mendeley.com/documents/?uuid=b2be95dc-5865-3703-8476-9e8d5cbb3af3"]}],"mendeley":{"formattedCitation":"[1]","plainTextFormattedCitation":"[1]","previouslyFormattedCitation":"[1]"},"properties":{"noteIndex":0},"schema":"https://github.com/citation-style-language/schema/raw/master/csl-citation.json"}</w:instrText>
      </w:r>
      <w:r w:rsidR="00FB3D01">
        <w:fldChar w:fldCharType="separate"/>
      </w:r>
      <w:r w:rsidR="00FB3D01" w:rsidRPr="00FB3D01">
        <w:t>[1]</w:t>
      </w:r>
      <w:r w:rsidR="00FB3D01">
        <w:fldChar w:fldCharType="end"/>
      </w:r>
      <w:r w:rsidR="001E20BE">
        <w:t>.</w:t>
      </w:r>
      <w:r w:rsidR="00105E7D">
        <w:t xml:space="preserve"> </w:t>
      </w:r>
    </w:p>
    <w:p w14:paraId="15F8AE1C" w14:textId="6D94D982" w:rsidR="00946500" w:rsidRPr="008F061B" w:rsidRDefault="00F95EFB" w:rsidP="008F061B">
      <w:pPr>
        <w:spacing w:beforeLines="60" w:before="144" w:after="60"/>
        <w:jc w:val="both"/>
      </w:pPr>
      <w:r>
        <w:t>While a large variety of candidate RNN models were proposed,</w:t>
      </w:r>
      <w:r w:rsidR="003E42EA">
        <w:t xml:space="preserve"> it is unclear if complex architecture innovations will offer higher predictive performance.</w:t>
      </w:r>
      <w:r>
        <w:t xml:space="preserve"> </w:t>
      </w:r>
      <w:r w:rsidR="00DD6330">
        <w:t>In order to move this field forward, a rigorous evaluati</w:t>
      </w:r>
      <w:r w:rsidR="001E20BE">
        <w:t>on of various methods is needed</w:t>
      </w:r>
      <w:r w:rsidR="003E42EA">
        <w:t>. For example, a thorough comparison of RNN models in natural language processing (NLP) models found that simple RNN models often offer competit</w:t>
      </w:r>
      <w:r w:rsidR="00FB3D01">
        <w:t xml:space="preserve">ive results when properly tuned </w:t>
      </w:r>
      <w:r w:rsidR="00FB3D01">
        <w:fldChar w:fldCharType="begin" w:fldLock="1"/>
      </w:r>
      <w:r w:rsidR="00FB3D01">
        <w:instrText>ADDIN CSL_CITATION {"citationItems":[{"id":"ITEM-1","itemData":{"abstract":"Ongoing innovations in recurrent neural network architectures have provided a steady influx of apparently state-of-the-art results on language modelling benchmarks. However, these have been evaluated using differing code bases and limited computational resources, which represent uncontrolled sources of experimental variation. We reevaluate several popular architectures and regularisation methods with large-scale automatic black-box hyperparameter tuning and arrive at the somewhat surprising conclusion that standard LSTM architectures, when properly regularised, outperform more recent models. We establish a new state of the art on the Penn Treebank and Wikitext-2 corpora, as well as strong baselines on the Hutter Prize dataset.","author":[{"dropping-particle":"","family":"Melis","given":"Gábor","non-dropping-particle":"","parse-names":false,"suffix":""},{"dropping-particle":"","family":"Dyer","given":"Chris","non-dropping-particle":"","parse-names":false,"suffix":""},{"dropping-particle":"","family":"Blunsom","given":"Phil","non-dropping-particle":"","parse-names":false,"suffix":""}],"id":"ITEM-1","issued":{"date-parts":[["2017","7","18"]]},"title":"On the State of the Art of Evaluation in Neural Language Models","type":"article-journal"},"uris":["http://www.mendeley.com/documents/?uuid=5e07a08a-887a-3d98-a63c-4f4920c9b693"]},{"id":"ITEM-2","itemData":{"abstract":"The Recurrent Neural Network (RNN) is an ex-tremely powerful sequence model that is often difficult to train. The Long Short-Term Memory (LSTM) is a specific RNN architecture whose design makes it much easier to train. While wildly successful in practice, the LSTM's archi-tecture appears to be ad-hoc so it is not clear if it is optimal, and the significance of its individual components is unclear. In this work, we aim to determine whether the LSTM architecture is optimal or whether much better architectures exist. We conducted a thor-ough architecture search where we evaluated over ten thousand different RNN architectures, and identified an architecture that outperforms both the LSTM and the recently-introduced Gated Recurrent Unit (GRU) on some but not all tasks. We found that adding a bias of 1 to the LSTM's forget gate closes the gap between the LSTM and the GRU.","author":[{"dropping-particle":"","family":"Jozefowicz","given":"Rafal","non-dropping-particle":"","parse-names":false,"suffix":""},{"dropping-particle":"","family":"Zaremba","given":"Wojciech","non-dropping-particle":"","parse-names":false,"suffix":""},{"dropping-particle":"","family":"Sutskever","given":"Ilya","non-dropping-particle":"","parse-names":false,"suffix":""}],"id":"ITEM-2","issued":{"date-parts":[["0"]]},"title":"An Empirical Exploration of Recurrent Network Architectures","type":"article-journal"},"uris":["http://www.mendeley.com/documents/?uuid=3a950244-6bde-327b-a1b9-ff0333d9c3e3"]}],"mendeley":{"formattedCitation":"[2,3]","plainTextFormattedCitation":"[2,3]","previouslyFormattedCitation":"[2,3]"},"properties":{"noteIndex":0},"schema":"https://github.com/citation-style-language/schema/raw/master/csl-citation.json"}</w:instrText>
      </w:r>
      <w:r w:rsidR="00FB3D01">
        <w:fldChar w:fldCharType="separate"/>
      </w:r>
      <w:r w:rsidR="00FB3D01" w:rsidRPr="00FB3D01">
        <w:t>[2,3]</w:t>
      </w:r>
      <w:r w:rsidR="00FB3D01">
        <w:fldChar w:fldCharType="end"/>
      </w:r>
      <w:r w:rsidR="003E42EA" w:rsidRPr="008F061B">
        <w:t xml:space="preserve"> </w:t>
      </w:r>
      <w:r w:rsidR="003E42EA">
        <w:t>In this study, we aim to</w:t>
      </w:r>
      <w:r w:rsidR="00DD6330">
        <w:t xml:space="preserve"> offer a </w:t>
      </w:r>
      <w:r w:rsidR="003E42EA">
        <w:t xml:space="preserve">similarly </w:t>
      </w:r>
      <w:r w:rsidR="00DD6330">
        <w:t>comprehensive evaluation of RNN-based methods in modeling EHR dat</w:t>
      </w:r>
      <w:r w:rsidR="00014549">
        <w:t>a for predicting patient risk for developing heart failure or early readmit for an inpatient hospitalization.</w:t>
      </w:r>
    </w:p>
    <w:p w14:paraId="2FFB60B4" w14:textId="6E3F1D36" w:rsidR="008F30A7" w:rsidRDefault="008F30A7" w:rsidP="008F30A7">
      <w:pPr>
        <w:pStyle w:val="ALevelOneHeader"/>
      </w:pPr>
      <w:r>
        <w:t>Methods</w:t>
      </w:r>
    </w:p>
    <w:p w14:paraId="010C78F0" w14:textId="6126FE16" w:rsidR="00E86083" w:rsidRPr="00A632E9" w:rsidRDefault="00C7778A" w:rsidP="008F061B">
      <w:pPr>
        <w:spacing w:beforeLines="60" w:before="144" w:afterLines="60" w:after="144"/>
        <w:jc w:val="both"/>
      </w:pPr>
      <w:r>
        <w:t xml:space="preserve">RNN models vary either through the cell architecture or the connection between the cells. we tested </w:t>
      </w:r>
      <w:r w:rsidR="00453BB4">
        <w:t xml:space="preserve">3 </w:t>
      </w:r>
      <w:r>
        <w:t xml:space="preserve">cells variations namely vanilla RNN cell with tanh activation, </w:t>
      </w:r>
      <w:r w:rsidR="00FF10E5">
        <w:t>long short term memory (</w:t>
      </w:r>
      <w:r>
        <w:t>LSTM</w:t>
      </w:r>
      <w:r w:rsidR="00FF10E5">
        <w:t>)</w:t>
      </w:r>
      <w:r>
        <w:t xml:space="preserve">, </w:t>
      </w:r>
      <w:r w:rsidR="00FF10E5">
        <w:t xml:space="preserve"> </w:t>
      </w:r>
      <w:r w:rsidR="00453BB4">
        <w:t xml:space="preserve">and </w:t>
      </w:r>
      <w:r w:rsidR="00FF10E5">
        <w:t>gated recurrent unit (</w:t>
      </w:r>
      <w:r>
        <w:t>GRU</w:t>
      </w:r>
      <w:r w:rsidR="00FF10E5">
        <w:t>)</w:t>
      </w:r>
      <w:r>
        <w:t>, and 3 different connections, Standard, Bidirectional and Dilated connections</w:t>
      </w:r>
      <w:r w:rsidR="00FB3D01">
        <w:fldChar w:fldCharType="begin" w:fldLock="1"/>
      </w:r>
      <w:r w:rsidR="00FB3D01">
        <w:instrText>ADDIN CSL_CITATION {"citationItems":[{"id":"ITEM-1","itemData":{"abstract":"Learning with recurrent neural networks (RNNs) on long sequences is a notoriously difficult task. There are three major challenges: 1) complex dependencies, 2) vanishing and exploding gradients, and 3) efficient parallelization. In this paper, we introduce a simple yet effective RNN connection structure, the DilatedRNN, which simultaneously tackles all of these challenges. The proposed architecture is characterized by multi-resolution dilated recurrent skip connections and can be combined flexibly with diverse RNN cells. Moreover, the DilatedRNN reduces the number of parameters needed and enhances training efficiency significantly, while matching state-of-the-art performance (even with standard RNN cells) in tasks involving very long-term dependencies. To provide a theory-based quantification of the architecture's advantages, we introduce a memory capacity measure, the mean recurrent length, which is more suitable for RNNs with long skip connections than existing measures. We rigorously prove the advantages of the DilatedRNN over other recurrent neural architectures. The code for our method is publicly available at https://github.com/code-terminator/DilatedRNN","author":[{"dropping-particle":"","family":"Chang","given":"Shiyu","non-dropping-particle":"","parse-names":false,"suffix":""},{"dropping-particle":"","family":"Zhang","given":"Yang","non-dropping-particle":"","parse-names":false,"suffix":""},{"dropping-particle":"","family":"Han","given":"Wei","non-dropping-particle":"","parse-names":false,"suffix":""},{"dropping-particle":"","family":"Yu","given":"Mo","non-dropping-particle":"","parse-names":false,"suffix":""},{"dropping-particle":"","family":"Guo","given":"Xiaoxiao","non-dropping-particle":"","parse-names":false,"suffix":""},{"dropping-particle":"","family":"Tan","given":"Wei","non-dropping-particle":"","parse-names":false,"suffix":""},{"dropping-particle":"","family":"Cui","given":"Xiaodong","non-dropping-particle":"","parse-names":false,"suffix":""},{"dropping-particle":"","family":"Witbrock","given":"Michael","non-dropping-particle":"","parse-names":false,"suffix":""},{"dropping-particle":"","family":"Hasegawa-Johnson","given":"Mark","non-dropping-particle":"","parse-names":false,"suffix":""},{"dropping-particle":"","family":"Huang","given":"Thomas S.","non-dropping-particle":"","parse-names":false,"suffix":""}],"id":"ITEM-1","issued":{"date-parts":[["2017","10","5"]]},"title":"Dilated Recurrent Neural Networks","type":"article-journal"},"uris":["http://www.mendeley.com/documents/?uuid=0753e221-b7b1-3434-8d65-be6735191dec"]}],"mendeley":{"formattedCitation":"[4]","plainTextFormattedCitation":"[4]","previouslyFormattedCitation":"[4]"},"properties":{"noteIndex":0},"schema":"https://github.com/citation-style-language/schema/raw/master/csl-citation.json"}</w:instrText>
      </w:r>
      <w:r w:rsidR="00FB3D01">
        <w:fldChar w:fldCharType="separate"/>
      </w:r>
      <w:r w:rsidR="00FB3D01" w:rsidRPr="00FB3D01">
        <w:rPr>
          <w:noProof/>
        </w:rPr>
        <w:t>[4]</w:t>
      </w:r>
      <w:r w:rsidR="00FB3D01">
        <w:fldChar w:fldCharType="end"/>
      </w:r>
      <w:r>
        <w:t xml:space="preserve">. </w:t>
      </w:r>
      <w:r w:rsidR="00453BB4">
        <w:t>We also tested two</w:t>
      </w:r>
      <w:r w:rsidR="00FB3D01">
        <w:t xml:space="preserve"> recent models, Quasi-RNN (QRNN)</w:t>
      </w:r>
      <w:r w:rsidR="00FB3D01">
        <w:fldChar w:fldCharType="begin" w:fldLock="1"/>
      </w:r>
      <w:r w:rsidR="00FB3D01">
        <w:instrText>ADDIN CSL_CITATION {"citationItems":[{"id":"ITEM-1","itemData":{"abstract":"Recurrent neural networks are a powerful tool for modeling sequential data, but the dependence of each timestep's computation on the previous timestep's output limits parallelism and makes RNNs unwieldy for very long sequences. We introduce quasi-recurrent neural networks (QRNNs), an approach to neural sequence modeling that alternates convolutional layers, which apply in parallel across timesteps, and a minimalist recurrent pooling function that applies in parallel across channels. Despite lacking trainable recurrent layers, stacked QRNNs have better predictive accuracy than stacked LSTMs of the same hidden size. Due to their increased parallelism, they are up to 16 times faster at train and test time. Experiments on language modeling, sentiment classification, and character-level neural machine translation demonstrate these advantages and underline the viability of QRNNs as a basic building block for a variety of sequence tasks.","author":[{"dropping-particle":"","family":"Bradbury","given":"James","non-dropping-particle":"","parse-names":false,"suffix":""},{"dropping-particle":"","family":"Merity","given":"Stephen","non-dropping-particle":"","parse-names":false,"suffix":""},{"dropping-particle":"","family":"Xiong","given":"Caiming","non-dropping-particle":"","parse-names":false,"suffix":""},{"dropping-particle":"","family":"Socher","given":"Richard","non-dropping-particle":"","parse-names":false,"suffix":""}],"id":"ITEM-1","issued":{"date-parts":[["2016","11","4"]]},"title":"Quasi-Recurrent Neural Networks","type":"article-journal"},"uris":["http://www.mendeley.com/documents/?uuid=1e80a889-aab5-3abe-96c6-72af34d3e890"]}],"mendeley":{"formattedCitation":"[5]","plainTextFormattedCitation":"[5]","previouslyFormattedCitation":"[5]"},"properties":{"noteIndex":0},"schema":"https://github.com/citation-style-language/schema/raw/master/csl-citation.json"}</w:instrText>
      </w:r>
      <w:r w:rsidR="00FB3D01">
        <w:fldChar w:fldCharType="separate"/>
      </w:r>
      <w:r w:rsidR="00FB3D01" w:rsidRPr="00FB3D01">
        <w:rPr>
          <w:noProof/>
        </w:rPr>
        <w:t>[5]</w:t>
      </w:r>
      <w:r w:rsidR="00FB3D01">
        <w:fldChar w:fldCharType="end"/>
      </w:r>
      <w:r w:rsidR="00734DBC">
        <w:t xml:space="preserve"> and </w:t>
      </w:r>
      <w:r w:rsidR="00453BB4">
        <w:t>Time aware-LSTM (T-LSTM)</w:t>
      </w:r>
      <w:r w:rsidR="00FB3D01">
        <w:t xml:space="preserve"> </w:t>
      </w:r>
      <w:r w:rsidR="00FB3D01">
        <w:fldChar w:fldCharType="begin" w:fldLock="1"/>
      </w:r>
      <w:r w:rsidR="00AF44F9">
        <w:instrText>ADDIN CSL_CITATION {"citationItems":[{"id":"ITEM-1","itemData":{"DOI":"10.1145/3097983.3097997","ISBN":"9781450348874","abstract":"In the study of various diseases, heterogeneity among patients usually leads to diierent progression paaerns and may require diierent types of therapeutic intervention. .erefore, it is important to study patient subtyping, which is grouping of patients into disease characterizing subtypes. Subtyping from complex patient data is challenging because of the information heterogeneity and temporal dynamics. Long-Short Term Memory (LSTM) has been successfully used in many domains for processing sequential data, and recently applied for analyzing longitudinal patient records. .e LSTM units are designed to handle data with constant elapsed times between consecutive elements of a sequence. Given that time lapse between successive elements in patient records can vary from days to months, the design of traditional LSTM may lead to suboptimal performance. In this paper, we propose a novel LSTM unit called Time-Aware LSTM (T-LSTM) to handle irregular time intervals in longitudinal patient records. We learn a subspace decomposition of the cell memory which enables time decay to discount the memory content according to the elapsed time. We propose a patient subtyp-ing model that leverages the proposed T-LSTM in an auto-encoder to learn a powerful single representation for sequential records of patients, which are then used to cluster patients into clinical subtypes. Experiments on synthetic and real world datasets show that the proposed T-LSTM architecture captures the underlying structures in the sequences with time irregularities. CCS CONCEPTS •Applied computing →Health informatics; •Mathematics of computing →Time series analysis; •Computing methodologies →Cluster analysis; Permission to make digital or hard copies of all or part of this work for personal or classroom use is granted without fee provided that copies are not made or distributed for proot or commercial advantage and that copies bear this notice and the full citation on the erst page. Copyrights for components of this work owned by others than ACM must be honored. Abstracting with credit is permiied. To copy otherwise, or republish, to post on servers or to redistribute to lists, requires prior speciic permission and/or a fee. Request permissions from permissions@acm.org.","author":[{"dropping-particle":"","family":"Baytas","given":"Inci M","non-dropping-particle":"","parse-names":false,"suffix":""},{"dropping-particle":"","family":"Xiao","given":"Cao","non-dropping-particle":"","parse-names":false,"suffix":""},{"dropping-particle":"","family":"Zhang","given":"Xi","non-dropping-particle":"","parse-names":false,"suffix":""},{"dropping-particle":"","family":"Wang","given":"Fei","non-dropping-particle":"","parse-names":false,"suffix":""},{"dropping-particle":"","family":"Jain","given":"Anil K","non-dropping-particle":"","parse-names":false,"suffix":""},{"dropping-particle":"","family":"Zhou","given":"Jiayu","non-dropping-particle":"","parse-names":false,"suffix":""}],"id":"ITEM-1","issued":{"date-parts":[["2017"]]},"title":"Patient Subtyping via Time-Aware LSTM Networks","type":"article-journal","volume":"10"},"uris":["http://www.mendeley.com/documents/?uuid=a866aad7-4dce-3000-ba65-ff8d53137f09"]}],"mendeley":{"formattedCitation":"[6]","plainTextFormattedCitation":"[6]","previouslyFormattedCitation":"[6]"},"properties":{"noteIndex":0},"schema":"https://github.com/citation-style-language/schema/raw/master/csl-citation.json"}</w:instrText>
      </w:r>
      <w:r w:rsidR="00FB3D01">
        <w:fldChar w:fldCharType="separate"/>
      </w:r>
      <w:r w:rsidR="00FB3D01" w:rsidRPr="00FB3D01">
        <w:rPr>
          <w:noProof/>
        </w:rPr>
        <w:t>[6]</w:t>
      </w:r>
      <w:r w:rsidR="00FB3D01">
        <w:fldChar w:fldCharType="end"/>
      </w:r>
      <w:r w:rsidR="00453BB4">
        <w:t xml:space="preserve">, </w:t>
      </w:r>
      <w:r w:rsidR="00734DBC">
        <w:t>besides</w:t>
      </w:r>
      <w:r w:rsidR="00453BB4">
        <w:t xml:space="preserve"> </w:t>
      </w:r>
      <w:r>
        <w:t>RETAIN</w:t>
      </w:r>
      <w:r w:rsidR="00AF44F9">
        <w:t xml:space="preserve"> </w:t>
      </w:r>
      <w:r w:rsidR="00AF44F9">
        <w:fldChar w:fldCharType="begin" w:fldLock="1"/>
      </w:r>
      <w:r w:rsidR="00AF44F9">
        <w:instrText>ADDIN CSL_CITATION {"citationItems":[{"id":"ITEM-1","itemData":{"ISSN":"10495258","abstract":"Accuracy and interpretability are two dominant features of successful predictive models. Typically, a choice must be made in favor of complex black box models such as recurrent neural networks (RNN) for accuracy versus less accurate but more interpretable traditional models such as logistic regression. This tradeoff poses challenges in medicine where both accuracy and interpretability are important. We addressed this challenge by developing the REverse Time AttentIoN model (RETAIN) for application to Electronic Health Records (EHR) data. RETAIN achieves high accuracy while remaining clinically interpretable and is based on a two-level neural attention model that detects influential past visits and significant clinical variables within those visits (e.g. key diagnoses). RETAIN mimics physician practice by attending the EHR data in a reverse time order so that recent clinical visits are likely to receive higher attention. RETAIN was tested on a large health system EHR dataset with 14 million visits completed by 263K patients over an 8 year period and demonstrated predictive accuracy and computational scalability comparable to state-of-the-art methods such as RNN, and ease of interpretability comparable to traditional models.","author":[{"dropping-particle":"","family":"Choi","given":"Edward","non-dropping-particle":"","parse-names":false,"suffix":""},{"dropping-particle":"","family":"Bahadori","given":"Mohammad Taha","non-dropping-particle":"","parse-names":false,"suffix":""},{"dropping-particle":"","family":"Kulas","given":"Joshua A.","non-dropping-particle":"","parse-names":false,"suffix":""},{"dropping-particle":"","family":"Schuetz","given":"Andy","non-dropping-particle":"","parse-names":false,"suffix":""},{"dropping-particle":"","family":"Stewart","given":"Walter F.","non-dropping-particle":"","parse-names":false,"suffix":""},{"dropping-particle":"","family":"Sun","given":"Jimeng","non-dropping-particle":"","parse-names":false,"suffix":""}],"container-title":"Advances in Neural Information Processing Systems","id":"ITEM-1","issued":{"date-parts":[["2016"]]},"page":"3504-3512","title":"RETAIN: An Interpretable Predictive Model for Healthcare using Reverse Time Attention Mechanism","type":"article-journal"},"uris":["http://www.mendeley.com/documents/?uuid=cb914a97-0e7c-3e12-9005-00334f1bf474"]}],"mendeley":{"formattedCitation":"[7]","plainTextFormattedCitation":"[7]","previouslyFormattedCitation":"[7]"},"properties":{"noteIndex":0},"schema":"https://github.com/citation-style-language/schema/raw/master/csl-citation.json"}</w:instrText>
      </w:r>
      <w:r w:rsidR="00AF44F9">
        <w:fldChar w:fldCharType="separate"/>
      </w:r>
      <w:r w:rsidR="00AF44F9" w:rsidRPr="00AF44F9">
        <w:rPr>
          <w:noProof/>
        </w:rPr>
        <w:t>[7]</w:t>
      </w:r>
      <w:r w:rsidR="00AF44F9">
        <w:fldChar w:fldCharType="end"/>
      </w:r>
      <w:r w:rsidR="00AF44F9">
        <w:t>.</w:t>
      </w:r>
      <w:r w:rsidR="00453BB4" w:rsidRPr="00E27E0B">
        <w:t xml:space="preserve">In addition to these </w:t>
      </w:r>
      <w:r w:rsidRPr="00232FA9">
        <w:t xml:space="preserve">12 variations </w:t>
      </w:r>
      <w:r>
        <w:t xml:space="preserve">of RNN based models, </w:t>
      </w:r>
      <w:r w:rsidR="00453BB4">
        <w:t xml:space="preserve">we also included non-deep learning methods, </w:t>
      </w:r>
      <w:r>
        <w:t xml:space="preserve">Random forest </w:t>
      </w:r>
      <w:r w:rsidR="00453BB4">
        <w:t xml:space="preserve">(RF) </w:t>
      </w:r>
      <w:r>
        <w:t>and logistic regression</w:t>
      </w:r>
      <w:r w:rsidR="00453BB4">
        <w:t xml:space="preserve"> (LR) for comparison</w:t>
      </w:r>
      <w:r>
        <w:t xml:space="preserve">. </w:t>
      </w:r>
      <w:r w:rsidR="00A2183B">
        <w:t xml:space="preserve">For each </w:t>
      </w:r>
      <w:r w:rsidR="00F269DA">
        <w:t xml:space="preserve">RNN </w:t>
      </w:r>
      <w:r w:rsidR="00A2183B">
        <w:t xml:space="preserve">model architecture, we experimented on </w:t>
      </w:r>
      <w:r w:rsidR="000804ED">
        <w:t>7</w:t>
      </w:r>
      <w:r w:rsidR="00A2183B">
        <w:t xml:space="preserve"> optimizers</w:t>
      </w:r>
      <w:r w:rsidR="002B1C14">
        <w:t xml:space="preserve"> (Adam, </w:t>
      </w:r>
      <w:r w:rsidR="00AF44F9">
        <w:t>Adamax, Adagrad, Adadelta</w:t>
      </w:r>
      <w:r w:rsidR="00AF44F9" w:rsidRPr="00142CDF">
        <w:rPr>
          <w:noProof/>
        </w:rPr>
        <w:t>,</w:t>
      </w:r>
      <w:r w:rsidR="00142CDF">
        <w:rPr>
          <w:noProof/>
        </w:rPr>
        <w:t xml:space="preserve"> </w:t>
      </w:r>
      <w:r w:rsidR="00AF44F9" w:rsidRPr="00142CDF">
        <w:rPr>
          <w:noProof/>
        </w:rPr>
        <w:t>RMSprop</w:t>
      </w:r>
      <w:r w:rsidR="000804ED">
        <w:t>, ASGD, and SGD)</w:t>
      </w:r>
      <w:r w:rsidR="00A2183B">
        <w:t>,</w:t>
      </w:r>
      <w:r w:rsidR="002B1C14">
        <w:t xml:space="preserve"> and </w:t>
      </w:r>
      <w:r>
        <w:t xml:space="preserve">used Bayesian optimization </w:t>
      </w:r>
      <w:r w:rsidR="00AF44F9">
        <w:fldChar w:fldCharType="begin" w:fldLock="1"/>
      </w:r>
      <w:r w:rsidR="00B97C01">
        <w:instrText>ADDIN CSL_CITATION {"citationItems":[{"id":"ITEM-1","itemData":{"DOI":"10.1109/JPROC.2015.2494218","ISSN":"0018-9219","author":[{"dropping-particle":"","family":"Shahriari","given":"Bobak","non-dropping-particle":"","parse-names":false,"suffix":""},{"dropping-particle":"","family":"Swersky","given":"Kevin","non-dropping-particle":"","parse-names":false,"suffix":""},{"dropping-particle":"","family":"Wang","given":"Ziyu","non-dropping-particle":"","parse-names":false,"suffix":""},{"dropping-particle":"","family":"Adams","given":"Ryan P.","non-dropping-particle":"","parse-names":false,"suffix":""},{"dropping-particle":"","family":"Freitas","given":"Nando","non-dropping-particle":"de","parse-names":false,"suffix":""}],"container-title":"Proceedings of the IEEE","id":"ITEM-1","issue":"1","issued":{"date-parts":[["2016","1"]]},"page":"148-175","title":"Taking the Human Out of the Loop: A Review of Bayesian Optimization","type":"article-journal","volume":"104"},"uris":["http://www.mendeley.com/documents/?uuid=1a30bdc2-1db2-3ede-bce4-5fc8b483a6d4"]}],"mendeley":{"formattedCitation":"[8]","plainTextFormattedCitation":"[8]","previouslyFormattedCitation":"[8]"},"properties":{"noteIndex":0},"schema":"https://github.com/citation-style-language/schema/raw/master/csl-citation.json"}</w:instrText>
      </w:r>
      <w:r w:rsidR="00AF44F9">
        <w:fldChar w:fldCharType="separate"/>
      </w:r>
      <w:r w:rsidR="00AF44F9" w:rsidRPr="00AF44F9">
        <w:rPr>
          <w:noProof/>
        </w:rPr>
        <w:t>[8]</w:t>
      </w:r>
      <w:r w:rsidR="00AF44F9">
        <w:fldChar w:fldCharType="end"/>
      </w:r>
      <w:r>
        <w:t xml:space="preserve"> for </w:t>
      </w:r>
      <w:r w:rsidR="002B1C14">
        <w:t xml:space="preserve">searching </w:t>
      </w:r>
      <w:r w:rsidRPr="00142CDF">
        <w:rPr>
          <w:noProof/>
        </w:rPr>
        <w:t>hyperparam</w:t>
      </w:r>
      <w:r w:rsidR="00142CDF">
        <w:rPr>
          <w:noProof/>
        </w:rPr>
        <w:t>e</w:t>
      </w:r>
      <w:r w:rsidRPr="00142CDF">
        <w:rPr>
          <w:noProof/>
        </w:rPr>
        <w:t>ters</w:t>
      </w:r>
      <w:r w:rsidR="002B1C14">
        <w:t xml:space="preserve">, including </w:t>
      </w:r>
      <w:r w:rsidR="00AF44F9">
        <w:t>embedding dimension, hidden size,</w:t>
      </w:r>
      <w:r w:rsidR="000804ED">
        <w:t xml:space="preserve"> </w:t>
      </w:r>
      <w:r w:rsidR="000804ED" w:rsidRPr="00142CDF">
        <w:rPr>
          <w:noProof/>
        </w:rPr>
        <w:t>lear</w:t>
      </w:r>
      <w:r w:rsidR="00142CDF">
        <w:rPr>
          <w:noProof/>
        </w:rPr>
        <w:t>n</w:t>
      </w:r>
      <w:r w:rsidR="000804ED" w:rsidRPr="00142CDF">
        <w:rPr>
          <w:noProof/>
        </w:rPr>
        <w:t>ing</w:t>
      </w:r>
      <w:r w:rsidR="000804ED">
        <w:t xml:space="preserve"> rate, weight decay</w:t>
      </w:r>
      <w:r w:rsidR="00142CDF">
        <w:t>,</w:t>
      </w:r>
      <w:r w:rsidR="00AF44F9">
        <w:t xml:space="preserve"> </w:t>
      </w:r>
      <w:r w:rsidR="000804ED" w:rsidRPr="00142CDF">
        <w:rPr>
          <w:noProof/>
        </w:rPr>
        <w:t>and</w:t>
      </w:r>
      <w:r w:rsidR="000804ED">
        <w:t xml:space="preserve"> numerical </w:t>
      </w:r>
      <w:r w:rsidR="000804ED" w:rsidRPr="00142CDF">
        <w:rPr>
          <w:noProof/>
        </w:rPr>
        <w:t>toler</w:t>
      </w:r>
      <w:r w:rsidR="00142CDF">
        <w:rPr>
          <w:noProof/>
        </w:rPr>
        <w:t>a</w:t>
      </w:r>
      <w:r w:rsidR="000804ED" w:rsidRPr="00142CDF">
        <w:rPr>
          <w:noProof/>
        </w:rPr>
        <w:t>nce</w:t>
      </w:r>
      <w:r>
        <w:t>.</w:t>
      </w:r>
      <w:r w:rsidRPr="00F34381">
        <w:t xml:space="preserve"> </w:t>
      </w:r>
      <w:r>
        <w:t xml:space="preserve">All our implementations used </w:t>
      </w:r>
      <w:r w:rsidRPr="00B37CD0">
        <w:rPr>
          <w:noProof/>
        </w:rPr>
        <w:t>PyTorch</w:t>
      </w:r>
      <w:r>
        <w:t xml:space="preserve"> v</w:t>
      </w:r>
      <w:r w:rsidR="00A2183B">
        <w:t>0</w:t>
      </w:r>
      <w:r>
        <w:t>.4 framework.</w:t>
      </w:r>
      <w:r w:rsidRPr="00EC4C28">
        <w:t xml:space="preserve"> </w:t>
      </w:r>
      <w:r>
        <w:t xml:space="preserve">All our cohorts were split into </w:t>
      </w:r>
      <w:r w:rsidRPr="00B37CD0">
        <w:rPr>
          <w:noProof/>
        </w:rPr>
        <w:t>train,</w:t>
      </w:r>
      <w:r>
        <w:t xml:space="preserve"> validation and test sets on the 7:1:2 </w:t>
      </w:r>
      <w:r w:rsidR="003124A9">
        <w:t>ratios</w:t>
      </w:r>
      <w:r>
        <w:t>.</w:t>
      </w:r>
      <w:r w:rsidR="00A2183B">
        <w:t xml:space="preserve"> </w:t>
      </w:r>
      <w:r>
        <w:t xml:space="preserve">We used the area under the </w:t>
      </w:r>
      <w:r w:rsidRPr="00B37CD0">
        <w:rPr>
          <w:noProof/>
        </w:rPr>
        <w:t>ROC</w:t>
      </w:r>
      <w:r>
        <w:t xml:space="preserve"> curve (AUROC) as our main evaluation criteria. </w:t>
      </w:r>
    </w:p>
    <w:p w14:paraId="078E66C3" w14:textId="68835DDC" w:rsidR="00145A34" w:rsidRDefault="00A2183B" w:rsidP="008F061B">
      <w:pPr>
        <w:spacing w:beforeLines="60" w:before="144" w:afterLines="60" w:after="144"/>
        <w:jc w:val="both"/>
      </w:pPr>
      <w:r>
        <w:rPr>
          <w:noProof/>
        </w:rPr>
        <w:lastRenderedPageBreak/>
        <w:t>We</w:t>
      </w:r>
      <w:r w:rsidR="00145A34">
        <w:t xml:space="preserve"> tested the performance of different RNN models on two </w:t>
      </w:r>
      <w:r>
        <w:t xml:space="preserve">tasks. </w:t>
      </w:r>
      <w:r w:rsidR="00145A34">
        <w:t>The first is the prediction of patient risk to develop Heart Failure</w:t>
      </w:r>
      <w:r w:rsidR="00C16C35">
        <w:t xml:space="preserve"> (HF)</w:t>
      </w:r>
      <w:r w:rsidR="00145A34">
        <w:t xml:space="preserve"> by the next visit as an example of a </w:t>
      </w:r>
      <w:r w:rsidR="00145A34" w:rsidRPr="00B37CD0">
        <w:rPr>
          <w:noProof/>
        </w:rPr>
        <w:t>clinical</w:t>
      </w:r>
      <w:r w:rsidR="00145A34">
        <w:t xml:space="preserve"> </w:t>
      </w:r>
      <w:r w:rsidR="00145A34" w:rsidRPr="00B37CD0">
        <w:rPr>
          <w:noProof/>
        </w:rPr>
        <w:t>disease</w:t>
      </w:r>
      <w:r w:rsidR="00145A34">
        <w:rPr>
          <w:noProof/>
        </w:rPr>
        <w:t>-</w:t>
      </w:r>
      <w:r w:rsidR="00145A34" w:rsidRPr="00B37CD0">
        <w:rPr>
          <w:noProof/>
        </w:rPr>
        <w:t>specific</w:t>
      </w:r>
      <w:r w:rsidR="00145A34">
        <w:t xml:space="preserve"> question. The second is to predict the risk of early readmission for patients with </w:t>
      </w:r>
      <w:r w:rsidR="00C16C35">
        <w:t>HF</w:t>
      </w:r>
      <w:r w:rsidR="00B97C01" w:rsidRPr="00E27E0B">
        <w:t xml:space="preserve">, Myocardial infarction (MI), Stroke (CVD), </w:t>
      </w:r>
      <w:r w:rsidR="00B97C01" w:rsidRPr="00E27E0B">
        <w:rPr>
          <w:noProof/>
        </w:rPr>
        <w:t>Pneumonia</w:t>
      </w:r>
      <w:r w:rsidR="00CB5787">
        <w:rPr>
          <w:noProof/>
        </w:rPr>
        <w:t xml:space="preserve"> </w:t>
      </w:r>
      <w:r w:rsidR="00B97C01" w:rsidRPr="00E27E0B">
        <w:t>(Pn) and Chronic Obstructive Pulmonary Disease (COPD)</w:t>
      </w:r>
      <w:r w:rsidR="00B97C01">
        <w:t xml:space="preserve"> </w:t>
      </w:r>
      <w:r w:rsidR="00145A34">
        <w:t xml:space="preserve">diseases publicly reported by CMS, as an example of healthcare quality of service related question. We extracted cohorts for both </w:t>
      </w:r>
      <w:r>
        <w:t xml:space="preserve">tasks </w:t>
      </w:r>
      <w:r w:rsidR="00145A34">
        <w:t xml:space="preserve">from the Cerner Healthfacts® database (2016 version). </w:t>
      </w:r>
    </w:p>
    <w:p w14:paraId="254327C7" w14:textId="7C2FF5B1" w:rsidR="00EC4C28" w:rsidRPr="00664CE6" w:rsidRDefault="00AF0C2B" w:rsidP="008F061B">
      <w:pPr>
        <w:spacing w:beforeLines="60" w:before="144" w:afterLines="60" w:after="144"/>
        <w:jc w:val="both"/>
      </w:pPr>
      <w:r w:rsidRPr="00E27E0B">
        <w:t xml:space="preserve">For the Heart Failure </w:t>
      </w:r>
      <w:r w:rsidRPr="00142CDF">
        <w:rPr>
          <w:noProof/>
        </w:rPr>
        <w:t>cohort</w:t>
      </w:r>
      <w:r w:rsidR="00142CDF">
        <w:rPr>
          <w:noProof/>
        </w:rPr>
        <w:t>,</w:t>
      </w:r>
      <w:r w:rsidRPr="00E27E0B">
        <w:t xml:space="preserve"> we used </w:t>
      </w:r>
      <w:r w:rsidR="00FB5A98" w:rsidRPr="00E27E0B">
        <w:t>hospital_5</w:t>
      </w:r>
      <w:r w:rsidRPr="00E27E0B">
        <w:t xml:space="preserve"> data described in </w:t>
      </w:r>
      <w:r w:rsidR="00B97C01">
        <w:fldChar w:fldCharType="begin" w:fldLock="1"/>
      </w:r>
      <w:r w:rsidR="00DE02AC">
        <w:instrText>ADDIN CSL_CITATION {"citationItems":[{"id":"ITEM-1","itemData":{"DOI":"10.1016/j.jbi.2018.06.011","ISSN":"15320464","abstract":"© 2018 Elsevier Inc. Recently, recurrent neural networks (RNNs) have been applied in predicting disease onset risks with Electronic Health Record (EHR) data. While these models demonstrated promising results on relatively small data sets, the generalizability and transferability of those models and its applicability to different patient populations across hospitals have not been evaluated. In this study, we evaluated an RNN model, RETAIN, over Cerner Health Facts® EMR data, for heart failure onset risk prediction. Our data set included over 150,000 heart failure patients and over 1,000,000 controls from nearly 400 hospitals. Convincingly, RETAIN achieved an AUC of 82% in comparison to an AUC of 79% for logistic regression, demonstrating the power of more expressive deep learning models for EHR predictive modeling. The prediction performance fluctuated across different patient groups and varied from hospital to hospital. Also, we trained RETAIN models on individual hospitals and found that the model can be applied to other hospitals with only about 3.6% of reduction of AUC. Our results demonstrated the capability of RNN for predictive modeling with large and heterogeneous EHR data, and pave the road for future improvements.","author":[{"dropping-particle":"","family":"Rasmy","given":"L.","non-dropping-particle":"","parse-names":false,"suffix":""},{"dropping-particle":"","family":"Zheng","given":"W.J.","non-dropping-particle":"","parse-names":false,"suffix":""},{"dropping-particle":"","family":"Xu","given":"H.","non-dropping-particle":"","parse-names":false,"suffix":""},{"dropping-particle":"","family":"Zhi","given":"D.","non-dropping-particle":"","parse-names":false,"suffix":""},{"dropping-particle":"","family":"Wu","given":"Y.","non-dropping-particle":"","parse-names":false,"suffix":""},{"dropping-particle":"","family":"Wang","given":"N.","non-dropping-particle":"","parse-names":false,"suffix":""},{"dropping-particle":"","family":"Wu","given":"H.","non-dropping-particle":"","parse-names":false,"suffix":""},{"dropping-particle":"","family":"Geng","given":"X.","non-dropping-particle":"","parse-names":false,"suffix":""},{"dropping-particle":"","family":"Wang","given":"F.","non-dropping-particle":"","parse-names":false,"suffix":""}],"container-title":"Journal of Biomedical Informatics","id":"ITEM-1","issued":{"date-parts":[["2018"]]},"title":"A study of generalizability of recurrent neural network-based predictive models for heart failure onset risk using a large and heterogeneous EHR data set","type":"article-journal","volume":"84"},"uris":["http://www.mendeley.com/documents/?uuid=c2f8aab6-6f11-3aa6-a15f-c6065c9fcb07"]}],"mendeley":{"formattedCitation":"[9]","plainTextFormattedCitation":"[9]","previouslyFormattedCitation":"[9]"},"properties":{"noteIndex":0},"schema":"https://github.com/citation-style-language/schema/raw/master/csl-citation.json"}</w:instrText>
      </w:r>
      <w:r w:rsidR="00B97C01">
        <w:fldChar w:fldCharType="separate"/>
      </w:r>
      <w:r w:rsidR="00B97C01" w:rsidRPr="00B97C01">
        <w:rPr>
          <w:noProof/>
        </w:rPr>
        <w:t>[9]</w:t>
      </w:r>
      <w:r w:rsidR="00B97C01">
        <w:fldChar w:fldCharType="end"/>
      </w:r>
      <w:r w:rsidR="007D6A9E">
        <w:t xml:space="preserve"> with a cohort of </w:t>
      </w:r>
      <w:r w:rsidR="007D6A9E" w:rsidRPr="007D6A9E">
        <w:t>5,010 cases and 37,719 controls</w:t>
      </w:r>
      <w:r w:rsidR="003873E2" w:rsidRPr="00E27E0B">
        <w:t xml:space="preserve">. </w:t>
      </w:r>
      <w:r w:rsidRPr="00E27E0B">
        <w:t xml:space="preserve">For the Readmission </w:t>
      </w:r>
      <w:r w:rsidRPr="00142CDF">
        <w:rPr>
          <w:noProof/>
        </w:rPr>
        <w:t>cohort</w:t>
      </w:r>
      <w:r w:rsidR="00C16C35">
        <w:rPr>
          <w:noProof/>
        </w:rPr>
        <w:t xml:space="preserve"> (Readm)</w:t>
      </w:r>
      <w:r w:rsidR="00142CDF">
        <w:rPr>
          <w:noProof/>
        </w:rPr>
        <w:t>,</w:t>
      </w:r>
      <w:r w:rsidRPr="00E27E0B">
        <w:t xml:space="preserve"> we </w:t>
      </w:r>
      <w:r w:rsidR="008E056D" w:rsidRPr="00E27E0B">
        <w:t xml:space="preserve">used the same hospital </w:t>
      </w:r>
      <w:r w:rsidR="008E056D" w:rsidRPr="00142CDF">
        <w:rPr>
          <w:noProof/>
        </w:rPr>
        <w:t>data</w:t>
      </w:r>
      <w:r w:rsidR="008E056D" w:rsidRPr="00E27E0B">
        <w:t xml:space="preserve"> and </w:t>
      </w:r>
      <w:r w:rsidRPr="00E27E0B">
        <w:t>extracted</w:t>
      </w:r>
      <w:r w:rsidR="008E056D" w:rsidRPr="00E27E0B">
        <w:t xml:space="preserve"> patients with</w:t>
      </w:r>
      <w:r w:rsidR="00B97C01">
        <w:t xml:space="preserve"> the five diseases mentioned above</w:t>
      </w:r>
      <w:r w:rsidR="008E056D" w:rsidRPr="00E27E0B">
        <w:t xml:space="preserve">. </w:t>
      </w:r>
      <w:r w:rsidR="00A2183B" w:rsidRPr="00E27E0B">
        <w:t>W</w:t>
      </w:r>
      <w:r w:rsidR="00E27E0B">
        <w:t>e used the diagnosis, medication</w:t>
      </w:r>
      <w:r w:rsidR="00142CDF">
        <w:t>,</w:t>
      </w:r>
      <w:r w:rsidR="00A2183B" w:rsidRPr="00E27E0B">
        <w:t xml:space="preserve"> </w:t>
      </w:r>
      <w:r w:rsidR="00E27E0B" w:rsidRPr="00142CDF">
        <w:rPr>
          <w:noProof/>
        </w:rPr>
        <w:t>and</w:t>
      </w:r>
      <w:r w:rsidR="00E27E0B" w:rsidRPr="00E27E0B">
        <w:t xml:space="preserve"> </w:t>
      </w:r>
      <w:r w:rsidR="00E27E0B">
        <w:t>encounter administrative information</w:t>
      </w:r>
      <w:r w:rsidR="00A2183B" w:rsidRPr="00E27E0B">
        <w:t xml:space="preserve"> for a patient as input. </w:t>
      </w:r>
      <w:r w:rsidR="008E056D" w:rsidRPr="00E27E0B">
        <w:t xml:space="preserve">We used the time differences between two consecutive in-patient encounters excluding all recurring or transfer encounters to define </w:t>
      </w:r>
      <w:r w:rsidR="00CC007A">
        <w:t>our cohort</w:t>
      </w:r>
      <w:r w:rsidR="008E056D" w:rsidRPr="00E27E0B">
        <w:t xml:space="preserve">. </w:t>
      </w:r>
      <w:r w:rsidR="00CC007A">
        <w:t>W</w:t>
      </w:r>
      <w:r w:rsidR="008E056D" w:rsidRPr="00E27E0B">
        <w:t xml:space="preserve">e defined cases </w:t>
      </w:r>
      <w:r w:rsidR="006F3E79" w:rsidRPr="00E27E0B">
        <w:t xml:space="preserve">as patients </w:t>
      </w:r>
      <w:r w:rsidR="008E056D" w:rsidRPr="00E27E0B">
        <w:t>readmitted before 30 day</w:t>
      </w:r>
      <w:r w:rsidR="006F3E79" w:rsidRPr="00E27E0B">
        <w:t>s and</w:t>
      </w:r>
      <w:r w:rsidR="00CC007A">
        <w:t xml:space="preserve"> </w:t>
      </w:r>
      <w:r w:rsidR="00CC007A" w:rsidRPr="00E27E0B">
        <w:t xml:space="preserve">For better </w:t>
      </w:r>
      <w:r w:rsidR="00CC007A" w:rsidRPr="00142CDF">
        <w:rPr>
          <w:noProof/>
        </w:rPr>
        <w:t>discrimination</w:t>
      </w:r>
      <w:r w:rsidR="00CC007A">
        <w:rPr>
          <w:noProof/>
        </w:rPr>
        <w:t xml:space="preserve">, our control group consists of </w:t>
      </w:r>
      <w:r w:rsidR="006F3E79" w:rsidRPr="00E27E0B">
        <w:t xml:space="preserve">patients </w:t>
      </w:r>
      <w:r w:rsidR="008E056D" w:rsidRPr="00E27E0B">
        <w:t xml:space="preserve">readmitted after 90 days. </w:t>
      </w:r>
      <w:r w:rsidR="00CC007A">
        <w:t>For one hospital, we</w:t>
      </w:r>
      <w:r w:rsidR="006F3E79" w:rsidRPr="00E27E0B">
        <w:t xml:space="preserve"> obtained 5</w:t>
      </w:r>
      <w:r w:rsidR="00A11BE8">
        <w:t>,</w:t>
      </w:r>
      <w:r w:rsidR="006F3E79" w:rsidRPr="00E27E0B">
        <w:t>897 cases and 4</w:t>
      </w:r>
      <w:r w:rsidR="00A11BE8">
        <w:t>,</w:t>
      </w:r>
      <w:r w:rsidR="006F3E79" w:rsidRPr="00E27E0B">
        <w:t>757 controls</w:t>
      </w:r>
      <w:r w:rsidR="00AE4D8A" w:rsidRPr="00E27E0B">
        <w:t>.</w:t>
      </w:r>
    </w:p>
    <w:p w14:paraId="43F2920C" w14:textId="0E548CA9" w:rsidR="008F30A7" w:rsidRPr="00FB07AC" w:rsidRDefault="008F30A7" w:rsidP="008F061B">
      <w:pPr>
        <w:pStyle w:val="ALevelOneHeader"/>
        <w:spacing w:beforeLines="60" w:before="144" w:afterLines="60" w:after="144"/>
      </w:pPr>
      <w:r>
        <w:t>Results</w:t>
      </w:r>
      <w:r w:rsidR="002B1C14">
        <w:t xml:space="preserve"> and </w:t>
      </w:r>
      <w:r w:rsidR="002B1C14" w:rsidRPr="00142CDF">
        <w:t>Discussions</w:t>
      </w:r>
    </w:p>
    <w:p w14:paraId="11C9DD86" w14:textId="77777777" w:rsidR="00C16C35" w:rsidRDefault="008D5038" w:rsidP="008F061B">
      <w:pPr>
        <w:pStyle w:val="DBodyText"/>
        <w:spacing w:beforeLines="60" w:before="144" w:afterLines="60" w:after="144"/>
      </w:pPr>
      <w:r>
        <w:t xml:space="preserve">We trained </w:t>
      </w:r>
      <w:r w:rsidR="00142CDF">
        <w:t xml:space="preserve">a </w:t>
      </w:r>
      <w:r w:rsidR="00B97C01" w:rsidRPr="00142CDF">
        <w:t>large</w:t>
      </w:r>
      <w:r w:rsidR="00B97C01">
        <w:t xml:space="preserve"> number of</w:t>
      </w:r>
      <w:r>
        <w:t xml:space="preserve"> model</w:t>
      </w:r>
      <w:r w:rsidR="00B97C01">
        <w:t>s with hyperparameter</w:t>
      </w:r>
      <w:r>
        <w:t xml:space="preserve"> variations on each cohort. We identified the best model within a specific category based on the validation AUC</w:t>
      </w:r>
      <w:r w:rsidR="00AE4D8A">
        <w:t xml:space="preserve">. </w:t>
      </w:r>
      <w:r w:rsidR="00DE3D5C">
        <w:t xml:space="preserve">Figure </w:t>
      </w:r>
      <w:r w:rsidR="00AE4D8A">
        <w:t xml:space="preserve">1 is showing the AUC on the Test set. </w:t>
      </w:r>
      <w:r w:rsidR="002B1C14">
        <w:t xml:space="preserve">Interestingly, </w:t>
      </w:r>
      <w:r w:rsidR="00AE4D8A">
        <w:t xml:space="preserve">the best </w:t>
      </w:r>
      <w:r w:rsidR="002B1C14">
        <w:t xml:space="preserve">performing </w:t>
      </w:r>
      <w:r w:rsidR="00AE4D8A">
        <w:t>model was the simple unidirectional GRU.</w:t>
      </w:r>
      <w:r w:rsidR="00142CDF">
        <w:t xml:space="preserve"> </w:t>
      </w:r>
      <w:r w:rsidR="002B1C14">
        <w:t xml:space="preserve">In addition, </w:t>
      </w:r>
      <w:r w:rsidR="00AE4D8A">
        <w:t xml:space="preserve">we tested ensembling GRU with LR but that </w:t>
      </w:r>
      <w:r w:rsidR="002B1C14">
        <w:t>do</w:t>
      </w:r>
      <w:r w:rsidR="007A280C">
        <w:t>es</w:t>
      </w:r>
      <w:r w:rsidR="002B1C14">
        <w:t xml:space="preserve"> </w:t>
      </w:r>
      <w:r w:rsidR="002B1C14" w:rsidRPr="00142CDF">
        <w:t>not improve</w:t>
      </w:r>
      <w:r w:rsidR="00AE4D8A">
        <w:t xml:space="preserve"> the model.</w:t>
      </w:r>
      <w:r w:rsidR="00105E7D">
        <w:t xml:space="preserve"> </w:t>
      </w:r>
      <w:r w:rsidR="00105E7D">
        <w:t>Overall, we found our results inline with NLP researchers observations</w:t>
      </w:r>
      <w:r w:rsidR="00105E7D">
        <w:fldChar w:fldCharType="begin" w:fldLock="1"/>
      </w:r>
      <w:r w:rsidR="00105E7D">
        <w:instrText>ADDIN CSL_CITATION {"citationItems":[{"id":"ITEM-1","itemData":{"abstract":"Ongoing innovations in recurrent neural network architectures have provided a steady influx of apparently state-of-the-art results on language modelling benchmarks. However, these have been evaluated using differing code bases and limited computational resources, which represent uncontrolled sources of experimental variation. We reevaluate several popular architectures and regularisation methods with large-scale automatic black-box hyperparameter tuning and arrive at the somewhat surprising conclusion that standard LSTM architectures, when properly regularised, outperform more recent models. We establish a new state of the art on the Penn Treebank and Wikitext-2 corpora, as well as strong baselines on the Hutter Prize dataset.","author":[{"dropping-particle":"","family":"Melis","given":"Gábor","non-dropping-particle":"","parse-names":false,"suffix":""},{"dropping-particle":"","family":"Dyer","given":"Chris","non-dropping-particle":"","parse-names":false,"suffix":""},{"dropping-particle":"","family":"Blunsom","given":"Phil","non-dropping-particle":"","parse-names":false,"suffix":""}],"id":"ITEM-1","issued":{"date-parts":[["2017","7","18"]]},"title":"On the State of the Art of Evaluation in Neural Language Models","type":"article-journal"},"uris":["http://www.mendeley.com/documents/?uuid=5e07a08a-887a-3d98-a63c-4f4920c9b693"]},{"id":"ITEM-2","itemData":{"abstract":"The Recurrent Neural Network (RNN) is an ex-tremely powerful sequence model that is often difficult to train. The Long Short-Term Memory (LSTM) is a specific RNN architecture whose design makes it much easier to train. While wildly successful in practice, the LSTM's archi-tecture appears to be ad-hoc so it is not clear if it is optimal, and the significance of its individual components is unclear. In this work, we aim to determine whether the LSTM architecture is optimal or whether much better architectures exist. We conducted a thor-ough architecture search where we evaluated over ten thousand different RNN architectures, and identified an architecture that outperforms both the LSTM and the recently-introduced Gated Recurrent Unit (GRU) on some but not all tasks. We found that adding a bias of 1 to the LSTM's forget gate closes the gap between the LSTM and the GRU.","author":[{"dropping-particle":"","family":"Jozefowicz","given":"Rafal","non-dropping-particle":"","parse-names":false,"suffix":""},{"dropping-particle":"","family":"Zaremba","given":"Wojciech","non-dropping-particle":"","parse-names":false,"suffix":""},{"dropping-particle":"","family":"Sutskever","given":"Ilya","non-dropping-particle":"","parse-names":false,"suffix":""}],"id":"ITEM-2","issued":{"date-parts":[["0"]]},"title":"An Empirical Exploration of Recurrent Network Architectures","type":"article-journal"},"uris":["http://www.mendeley.com/documents/?uuid=3a950244-6bde-327b-a1b9-ff0333d9c3e3"]}],"mendeley":{"formattedCitation":"[2,3]","plainTextFormattedCitation":"[2,3]","previouslyFormattedCitation":"[2,3]"},"properties":{"noteIndex":0},"schema":"https://github.com/citation-style-language/schema/raw/master/csl-citation.json"}</w:instrText>
      </w:r>
      <w:r w:rsidR="00105E7D">
        <w:fldChar w:fldCharType="separate"/>
      </w:r>
      <w:r w:rsidR="00105E7D" w:rsidRPr="00FB3D01">
        <w:t>[2,3]</w:t>
      </w:r>
      <w:r w:rsidR="00105E7D">
        <w:fldChar w:fldCharType="end"/>
      </w:r>
      <w:r w:rsidR="00105E7D">
        <w:t xml:space="preserve">. </w:t>
      </w:r>
      <w:r w:rsidR="00105E7D" w:rsidRPr="00E27E0B">
        <w:t xml:space="preserve">Baseline RNN models such as </w:t>
      </w:r>
      <w:r w:rsidR="00105E7D" w:rsidRPr="00142CDF">
        <w:t>GRU</w:t>
      </w:r>
      <w:r w:rsidR="00105E7D" w:rsidRPr="00E27E0B">
        <w:t xml:space="preserve"> are often sufficient for predictive modeling tasks in EHR. One of the limitations of </w:t>
      </w:r>
      <w:r w:rsidR="00105E7D">
        <w:t xml:space="preserve">the </w:t>
      </w:r>
      <w:r w:rsidR="00105E7D" w:rsidRPr="00142CDF">
        <w:t>current</w:t>
      </w:r>
      <w:r w:rsidR="00105E7D" w:rsidRPr="00E27E0B">
        <w:t xml:space="preserve"> study is that we focused on a single hospital, due to constraints of computational resources</w:t>
      </w:r>
      <w:r w:rsidR="00105E7D">
        <w:rPr>
          <w:color w:val="FF0000"/>
        </w:rPr>
        <w:t xml:space="preserve">. </w:t>
      </w:r>
      <w:r w:rsidR="00105E7D">
        <w:t xml:space="preserve">We plan to test and compare on the full cohort that includes </w:t>
      </w:r>
      <w:r w:rsidR="00105E7D" w:rsidRPr="00142CDF">
        <w:t>hund</w:t>
      </w:r>
      <w:r w:rsidR="00105E7D">
        <w:t>re</w:t>
      </w:r>
      <w:r w:rsidR="00105E7D" w:rsidRPr="00142CDF">
        <w:t>ds</w:t>
      </w:r>
      <w:r w:rsidR="00105E7D">
        <w:t xml:space="preserve"> of thousands of patients across multiple hospitals to further verify our conclusions. </w:t>
      </w:r>
    </w:p>
    <w:p w14:paraId="2CE30655" w14:textId="596BE868" w:rsidR="00C16C35" w:rsidRPr="008F061B" w:rsidRDefault="00C16C35" w:rsidP="008F061B">
      <w:pPr>
        <w:pStyle w:val="Caption"/>
        <w:keepNext/>
        <w:spacing w:after="120"/>
        <w:rPr>
          <w:rFonts w:ascii="Times New Roman" w:hAnsi="Times New Roman" w:cs="Times New Roman"/>
          <w:i w:val="0"/>
          <w:iCs w:val="0"/>
        </w:rPr>
      </w:pPr>
      <w:r w:rsidRPr="008F061B">
        <w:rPr>
          <w:rFonts w:ascii="Times New Roman" w:hAnsi="Times New Roman" w:cs="Times New Roman"/>
          <w:color w:val="auto"/>
        </w:rPr>
        <w:t xml:space="preserve">Table </w:t>
      </w:r>
      <w:r w:rsidRPr="008F061B">
        <w:rPr>
          <w:rFonts w:ascii="Times New Roman" w:hAnsi="Times New Roman" w:cs="Times New Roman"/>
          <w:color w:val="auto"/>
        </w:rPr>
        <w:fldChar w:fldCharType="begin"/>
      </w:r>
      <w:r w:rsidRPr="008F061B">
        <w:rPr>
          <w:rFonts w:ascii="Times New Roman" w:hAnsi="Times New Roman" w:cs="Times New Roman"/>
          <w:color w:val="auto"/>
        </w:rPr>
        <w:instrText xml:space="preserve"> SEQ Table \* ARABIC </w:instrText>
      </w:r>
      <w:r w:rsidRPr="008F061B">
        <w:rPr>
          <w:rFonts w:ascii="Times New Roman" w:hAnsi="Times New Roman" w:cs="Times New Roman"/>
          <w:color w:val="auto"/>
        </w:rPr>
        <w:fldChar w:fldCharType="separate"/>
      </w:r>
      <w:r w:rsidRPr="008F061B">
        <w:rPr>
          <w:rFonts w:ascii="Times New Roman" w:hAnsi="Times New Roman" w:cs="Times New Roman"/>
          <w:noProof/>
          <w:color w:val="auto"/>
        </w:rPr>
        <w:t>1</w:t>
      </w:r>
      <w:r w:rsidRPr="008F061B">
        <w:rPr>
          <w:rFonts w:ascii="Times New Roman" w:hAnsi="Times New Roman" w:cs="Times New Roman"/>
          <w:color w:val="auto"/>
        </w:rPr>
        <w:fldChar w:fldCharType="end"/>
      </w:r>
      <w:r w:rsidRPr="008F061B">
        <w:rPr>
          <w:rFonts w:ascii="Times New Roman" w:hAnsi="Times New Roman" w:cs="Times New Roman"/>
          <w:color w:val="auto"/>
        </w:rPr>
        <w:t xml:space="preserve"> - Benchmarking Results</w:t>
      </w:r>
    </w:p>
    <w:tbl>
      <w:tblPr>
        <w:tblW w:w="4732" w:type="pct"/>
        <w:tblLayout w:type="fixed"/>
        <w:tblLook w:val="04A0" w:firstRow="1" w:lastRow="0" w:firstColumn="1" w:lastColumn="0" w:noHBand="0" w:noVBand="1"/>
      </w:tblPr>
      <w:tblGrid>
        <w:gridCol w:w="990"/>
        <w:gridCol w:w="720"/>
        <w:gridCol w:w="720"/>
        <w:gridCol w:w="1080"/>
        <w:gridCol w:w="540"/>
        <w:gridCol w:w="713"/>
      </w:tblGrid>
      <w:tr w:rsidR="00A11BE8" w:rsidRPr="0042187D" w14:paraId="1AC4B2AA" w14:textId="77777777" w:rsidTr="008F061B">
        <w:trPr>
          <w:trHeight w:val="300"/>
        </w:trPr>
        <w:tc>
          <w:tcPr>
            <w:tcW w:w="1039" w:type="pct"/>
            <w:tcBorders>
              <w:top w:val="single" w:sz="4" w:space="0" w:color="auto"/>
              <w:left w:val="nil"/>
              <w:bottom w:val="single" w:sz="4" w:space="0" w:color="auto"/>
              <w:right w:val="nil"/>
            </w:tcBorders>
            <w:shd w:val="clear" w:color="auto" w:fill="auto"/>
            <w:noWrap/>
            <w:vAlign w:val="bottom"/>
            <w:hideMark/>
          </w:tcPr>
          <w:p w14:paraId="28FC6AFD"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Model</w:t>
            </w:r>
          </w:p>
        </w:tc>
        <w:tc>
          <w:tcPr>
            <w:tcW w:w="756" w:type="pct"/>
            <w:tcBorders>
              <w:top w:val="single" w:sz="4" w:space="0" w:color="auto"/>
              <w:left w:val="nil"/>
              <w:bottom w:val="single" w:sz="4" w:space="0" w:color="auto"/>
              <w:right w:val="nil"/>
            </w:tcBorders>
            <w:shd w:val="clear" w:color="auto" w:fill="auto"/>
            <w:noWrap/>
            <w:vAlign w:val="bottom"/>
            <w:hideMark/>
          </w:tcPr>
          <w:p w14:paraId="76A1284D" w14:textId="711489CA"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HF</w:t>
            </w:r>
          </w:p>
        </w:tc>
        <w:tc>
          <w:tcPr>
            <w:tcW w:w="756" w:type="pct"/>
            <w:tcBorders>
              <w:top w:val="single" w:sz="4" w:space="0" w:color="auto"/>
              <w:left w:val="nil"/>
              <w:bottom w:val="single" w:sz="4" w:space="0" w:color="auto"/>
              <w:right w:val="nil"/>
            </w:tcBorders>
            <w:shd w:val="clear" w:color="auto" w:fill="auto"/>
            <w:noWrap/>
            <w:vAlign w:val="bottom"/>
            <w:hideMark/>
          </w:tcPr>
          <w:p w14:paraId="1F93FB40" w14:textId="7F6D892A" w:rsidR="00A11BE8" w:rsidRPr="008F061B" w:rsidRDefault="00A11BE8" w:rsidP="008F061B">
            <w:pPr>
              <w:overflowPunct/>
              <w:autoSpaceDE/>
              <w:autoSpaceDN/>
              <w:adjustRightInd/>
              <w:ind w:right="-102"/>
              <w:textAlignment w:val="auto"/>
              <w:rPr>
                <w:b/>
                <w:bCs/>
                <w:sz w:val="18"/>
                <w:szCs w:val="18"/>
                <w:lang w:eastAsia="en-US"/>
              </w:rPr>
            </w:pPr>
            <w:r w:rsidRPr="008F061B">
              <w:rPr>
                <w:b/>
                <w:bCs/>
                <w:sz w:val="18"/>
                <w:szCs w:val="18"/>
                <w:lang w:eastAsia="en-US"/>
              </w:rPr>
              <w:t>Readm</w:t>
            </w:r>
          </w:p>
        </w:tc>
        <w:tc>
          <w:tcPr>
            <w:tcW w:w="1134" w:type="pct"/>
            <w:tcBorders>
              <w:top w:val="single" w:sz="4" w:space="0" w:color="auto"/>
              <w:left w:val="nil"/>
              <w:bottom w:val="single" w:sz="4" w:space="0" w:color="auto"/>
              <w:right w:val="nil"/>
            </w:tcBorders>
            <w:shd w:val="clear" w:color="auto" w:fill="auto"/>
            <w:noWrap/>
            <w:vAlign w:val="bottom"/>
            <w:hideMark/>
          </w:tcPr>
          <w:p w14:paraId="12ED5889"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Model</w:t>
            </w:r>
          </w:p>
        </w:tc>
        <w:tc>
          <w:tcPr>
            <w:tcW w:w="567" w:type="pct"/>
            <w:tcBorders>
              <w:top w:val="single" w:sz="4" w:space="0" w:color="auto"/>
              <w:left w:val="nil"/>
              <w:bottom w:val="single" w:sz="4" w:space="0" w:color="auto"/>
              <w:right w:val="nil"/>
            </w:tcBorders>
            <w:shd w:val="clear" w:color="auto" w:fill="auto"/>
            <w:noWrap/>
            <w:vAlign w:val="bottom"/>
            <w:hideMark/>
          </w:tcPr>
          <w:p w14:paraId="366A4A53" w14:textId="6A56B704"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HF</w:t>
            </w:r>
          </w:p>
        </w:tc>
        <w:tc>
          <w:tcPr>
            <w:tcW w:w="748" w:type="pct"/>
            <w:tcBorders>
              <w:top w:val="single" w:sz="4" w:space="0" w:color="auto"/>
              <w:left w:val="nil"/>
              <w:bottom w:val="single" w:sz="4" w:space="0" w:color="auto"/>
              <w:right w:val="nil"/>
            </w:tcBorders>
            <w:shd w:val="clear" w:color="auto" w:fill="auto"/>
            <w:noWrap/>
            <w:vAlign w:val="bottom"/>
            <w:hideMark/>
          </w:tcPr>
          <w:p w14:paraId="26B221BA" w14:textId="417F8380" w:rsidR="00A11BE8" w:rsidRPr="008F061B" w:rsidRDefault="00A11BE8" w:rsidP="008F061B">
            <w:pPr>
              <w:overflowPunct/>
              <w:autoSpaceDE/>
              <w:autoSpaceDN/>
              <w:adjustRightInd/>
              <w:ind w:right="-114"/>
              <w:textAlignment w:val="auto"/>
              <w:rPr>
                <w:b/>
                <w:bCs/>
                <w:sz w:val="18"/>
                <w:szCs w:val="18"/>
                <w:lang w:eastAsia="en-US"/>
              </w:rPr>
            </w:pPr>
            <w:r w:rsidRPr="008F061B">
              <w:rPr>
                <w:b/>
                <w:bCs/>
                <w:sz w:val="18"/>
                <w:szCs w:val="18"/>
                <w:lang w:eastAsia="en-US"/>
              </w:rPr>
              <w:t>Readm</w:t>
            </w:r>
          </w:p>
        </w:tc>
      </w:tr>
      <w:tr w:rsidR="00A11BE8" w:rsidRPr="0042187D" w14:paraId="1D063292" w14:textId="77777777" w:rsidTr="008F061B">
        <w:trPr>
          <w:cantSplit/>
          <w:trHeight w:val="20"/>
        </w:trPr>
        <w:tc>
          <w:tcPr>
            <w:tcW w:w="1039" w:type="pct"/>
            <w:tcBorders>
              <w:top w:val="nil"/>
              <w:left w:val="nil"/>
              <w:bottom w:val="nil"/>
              <w:right w:val="nil"/>
            </w:tcBorders>
            <w:shd w:val="clear" w:color="auto" w:fill="auto"/>
            <w:vAlign w:val="bottom"/>
            <w:hideMark/>
          </w:tcPr>
          <w:p w14:paraId="0706F249"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GRU</w:t>
            </w:r>
          </w:p>
        </w:tc>
        <w:tc>
          <w:tcPr>
            <w:tcW w:w="756" w:type="pct"/>
            <w:tcBorders>
              <w:top w:val="nil"/>
              <w:left w:val="nil"/>
              <w:bottom w:val="nil"/>
              <w:right w:val="nil"/>
            </w:tcBorders>
            <w:shd w:val="clear" w:color="auto" w:fill="auto"/>
            <w:vAlign w:val="bottom"/>
            <w:hideMark/>
          </w:tcPr>
          <w:p w14:paraId="30899BC9" w14:textId="194218DD" w:rsidR="00A11BE8" w:rsidRPr="008F061B" w:rsidRDefault="00A11BE8" w:rsidP="00C16C35">
            <w:pPr>
              <w:overflowPunct/>
              <w:autoSpaceDE/>
              <w:autoSpaceDN/>
              <w:adjustRightInd/>
              <w:jc w:val="right"/>
              <w:textAlignment w:val="auto"/>
              <w:rPr>
                <w:b/>
                <w:bCs/>
                <w:color w:val="44546A"/>
                <w:sz w:val="18"/>
                <w:szCs w:val="18"/>
                <w:lang w:eastAsia="en-US"/>
              </w:rPr>
            </w:pPr>
            <w:r w:rsidRPr="0042187D">
              <w:rPr>
                <w:b/>
                <w:bCs/>
                <w:color w:val="44546A"/>
                <w:sz w:val="18"/>
                <w:szCs w:val="18"/>
                <w:lang w:eastAsia="en-US"/>
              </w:rPr>
              <w:t>84.8</w:t>
            </w:r>
          </w:p>
        </w:tc>
        <w:tc>
          <w:tcPr>
            <w:tcW w:w="756" w:type="pct"/>
            <w:tcBorders>
              <w:top w:val="nil"/>
              <w:left w:val="nil"/>
              <w:bottom w:val="nil"/>
              <w:right w:val="nil"/>
            </w:tcBorders>
            <w:shd w:val="clear" w:color="auto" w:fill="auto"/>
            <w:vAlign w:val="bottom"/>
            <w:hideMark/>
          </w:tcPr>
          <w:p w14:paraId="2A2A2984" w14:textId="531B10DC" w:rsidR="00A11BE8" w:rsidRPr="008F061B" w:rsidRDefault="00A11BE8" w:rsidP="00C16C35">
            <w:pPr>
              <w:overflowPunct/>
              <w:autoSpaceDE/>
              <w:autoSpaceDN/>
              <w:adjustRightInd/>
              <w:jc w:val="right"/>
              <w:textAlignment w:val="auto"/>
              <w:rPr>
                <w:b/>
                <w:bCs/>
                <w:color w:val="44546A"/>
                <w:sz w:val="18"/>
                <w:szCs w:val="18"/>
                <w:lang w:eastAsia="en-US"/>
              </w:rPr>
            </w:pPr>
            <w:r w:rsidRPr="0042187D">
              <w:rPr>
                <w:b/>
                <w:bCs/>
                <w:color w:val="44546A"/>
                <w:sz w:val="18"/>
                <w:szCs w:val="18"/>
                <w:lang w:eastAsia="en-US"/>
              </w:rPr>
              <w:t>75.5</w:t>
            </w:r>
          </w:p>
        </w:tc>
        <w:tc>
          <w:tcPr>
            <w:tcW w:w="1134" w:type="pct"/>
            <w:tcBorders>
              <w:top w:val="nil"/>
              <w:left w:val="nil"/>
              <w:bottom w:val="nil"/>
              <w:right w:val="nil"/>
            </w:tcBorders>
            <w:shd w:val="clear" w:color="auto" w:fill="auto"/>
            <w:vAlign w:val="bottom"/>
            <w:hideMark/>
          </w:tcPr>
          <w:p w14:paraId="1BD2DEE4"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Bi-GRU</w:t>
            </w:r>
          </w:p>
        </w:tc>
        <w:tc>
          <w:tcPr>
            <w:tcW w:w="567" w:type="pct"/>
            <w:tcBorders>
              <w:top w:val="nil"/>
              <w:left w:val="nil"/>
              <w:bottom w:val="nil"/>
              <w:right w:val="nil"/>
            </w:tcBorders>
            <w:shd w:val="clear" w:color="auto" w:fill="auto"/>
            <w:vAlign w:val="bottom"/>
            <w:hideMark/>
          </w:tcPr>
          <w:p w14:paraId="03BDA0C8" w14:textId="21631C8E"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84.5</w:t>
            </w:r>
          </w:p>
        </w:tc>
        <w:tc>
          <w:tcPr>
            <w:tcW w:w="748" w:type="pct"/>
            <w:tcBorders>
              <w:top w:val="nil"/>
              <w:left w:val="nil"/>
              <w:bottom w:val="nil"/>
              <w:right w:val="nil"/>
            </w:tcBorders>
            <w:shd w:val="clear" w:color="auto" w:fill="auto"/>
            <w:vAlign w:val="bottom"/>
            <w:hideMark/>
          </w:tcPr>
          <w:p w14:paraId="1CCDC4DE" w14:textId="4A3FEA4D"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74.4</w:t>
            </w:r>
          </w:p>
        </w:tc>
      </w:tr>
      <w:tr w:rsidR="00A11BE8" w:rsidRPr="0042187D" w14:paraId="4A7CB72A" w14:textId="77777777" w:rsidTr="008F061B">
        <w:trPr>
          <w:cantSplit/>
          <w:trHeight w:val="20"/>
        </w:trPr>
        <w:tc>
          <w:tcPr>
            <w:tcW w:w="1039" w:type="pct"/>
            <w:tcBorders>
              <w:top w:val="nil"/>
              <w:left w:val="nil"/>
              <w:bottom w:val="nil"/>
              <w:right w:val="nil"/>
            </w:tcBorders>
            <w:shd w:val="clear" w:color="auto" w:fill="auto"/>
            <w:noWrap/>
            <w:vAlign w:val="bottom"/>
            <w:hideMark/>
          </w:tcPr>
          <w:p w14:paraId="11CECE2E"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LSTM</w:t>
            </w:r>
          </w:p>
        </w:tc>
        <w:tc>
          <w:tcPr>
            <w:tcW w:w="756" w:type="pct"/>
            <w:tcBorders>
              <w:top w:val="nil"/>
              <w:left w:val="nil"/>
              <w:bottom w:val="nil"/>
              <w:right w:val="nil"/>
            </w:tcBorders>
            <w:shd w:val="clear" w:color="auto" w:fill="auto"/>
            <w:vAlign w:val="bottom"/>
            <w:hideMark/>
          </w:tcPr>
          <w:p w14:paraId="45C86499" w14:textId="75EF8476"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83.9</w:t>
            </w:r>
          </w:p>
        </w:tc>
        <w:tc>
          <w:tcPr>
            <w:tcW w:w="756" w:type="pct"/>
            <w:tcBorders>
              <w:top w:val="nil"/>
              <w:left w:val="nil"/>
              <w:bottom w:val="nil"/>
              <w:right w:val="nil"/>
            </w:tcBorders>
            <w:shd w:val="clear" w:color="auto" w:fill="auto"/>
            <w:vAlign w:val="bottom"/>
            <w:hideMark/>
          </w:tcPr>
          <w:p w14:paraId="33C809AA" w14:textId="6BFCA35B"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73.8</w:t>
            </w:r>
          </w:p>
        </w:tc>
        <w:tc>
          <w:tcPr>
            <w:tcW w:w="1134" w:type="pct"/>
            <w:tcBorders>
              <w:top w:val="nil"/>
              <w:left w:val="nil"/>
              <w:bottom w:val="nil"/>
              <w:right w:val="nil"/>
            </w:tcBorders>
            <w:shd w:val="clear" w:color="auto" w:fill="auto"/>
            <w:noWrap/>
            <w:vAlign w:val="bottom"/>
            <w:hideMark/>
          </w:tcPr>
          <w:p w14:paraId="3494C896"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Bi-LSTM</w:t>
            </w:r>
          </w:p>
        </w:tc>
        <w:tc>
          <w:tcPr>
            <w:tcW w:w="567" w:type="pct"/>
            <w:tcBorders>
              <w:top w:val="nil"/>
              <w:left w:val="nil"/>
              <w:bottom w:val="nil"/>
              <w:right w:val="nil"/>
            </w:tcBorders>
            <w:shd w:val="clear" w:color="auto" w:fill="auto"/>
            <w:vAlign w:val="bottom"/>
            <w:hideMark/>
          </w:tcPr>
          <w:p w14:paraId="4ADFE4A7" w14:textId="231AF4B4"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84.4</w:t>
            </w:r>
          </w:p>
        </w:tc>
        <w:tc>
          <w:tcPr>
            <w:tcW w:w="748" w:type="pct"/>
            <w:tcBorders>
              <w:top w:val="nil"/>
              <w:left w:val="nil"/>
              <w:bottom w:val="nil"/>
              <w:right w:val="nil"/>
            </w:tcBorders>
            <w:shd w:val="clear" w:color="auto" w:fill="auto"/>
            <w:vAlign w:val="bottom"/>
            <w:hideMark/>
          </w:tcPr>
          <w:p w14:paraId="0A53C36C" w14:textId="607E0E86"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75.2</w:t>
            </w:r>
          </w:p>
        </w:tc>
      </w:tr>
      <w:tr w:rsidR="00A11BE8" w:rsidRPr="0042187D" w14:paraId="611C9AE8" w14:textId="77777777" w:rsidTr="008F061B">
        <w:trPr>
          <w:cantSplit/>
          <w:trHeight w:val="20"/>
        </w:trPr>
        <w:tc>
          <w:tcPr>
            <w:tcW w:w="1039" w:type="pct"/>
            <w:tcBorders>
              <w:top w:val="nil"/>
              <w:left w:val="nil"/>
              <w:bottom w:val="nil"/>
              <w:right w:val="nil"/>
            </w:tcBorders>
            <w:shd w:val="clear" w:color="auto" w:fill="auto"/>
            <w:noWrap/>
            <w:vAlign w:val="bottom"/>
            <w:hideMark/>
          </w:tcPr>
          <w:p w14:paraId="2D8B9130"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D-GRU</w:t>
            </w:r>
          </w:p>
        </w:tc>
        <w:tc>
          <w:tcPr>
            <w:tcW w:w="756" w:type="pct"/>
            <w:tcBorders>
              <w:top w:val="nil"/>
              <w:left w:val="nil"/>
              <w:bottom w:val="nil"/>
              <w:right w:val="nil"/>
            </w:tcBorders>
            <w:shd w:val="clear" w:color="auto" w:fill="auto"/>
            <w:vAlign w:val="bottom"/>
            <w:hideMark/>
          </w:tcPr>
          <w:p w14:paraId="5E4DAA7D" w14:textId="5141C9B7"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83.3</w:t>
            </w:r>
          </w:p>
        </w:tc>
        <w:tc>
          <w:tcPr>
            <w:tcW w:w="756" w:type="pct"/>
            <w:tcBorders>
              <w:top w:val="nil"/>
              <w:left w:val="nil"/>
              <w:bottom w:val="nil"/>
              <w:right w:val="nil"/>
            </w:tcBorders>
            <w:shd w:val="clear" w:color="auto" w:fill="auto"/>
            <w:vAlign w:val="bottom"/>
            <w:hideMark/>
          </w:tcPr>
          <w:p w14:paraId="64926542" w14:textId="4A6660BA"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73.5</w:t>
            </w:r>
          </w:p>
        </w:tc>
        <w:tc>
          <w:tcPr>
            <w:tcW w:w="1134" w:type="pct"/>
            <w:tcBorders>
              <w:top w:val="nil"/>
              <w:left w:val="nil"/>
              <w:bottom w:val="nil"/>
              <w:right w:val="nil"/>
            </w:tcBorders>
            <w:shd w:val="clear" w:color="auto" w:fill="auto"/>
            <w:noWrap/>
            <w:vAlign w:val="bottom"/>
            <w:hideMark/>
          </w:tcPr>
          <w:p w14:paraId="3D54A7AE"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Bi-RNN</w:t>
            </w:r>
          </w:p>
        </w:tc>
        <w:tc>
          <w:tcPr>
            <w:tcW w:w="567" w:type="pct"/>
            <w:tcBorders>
              <w:top w:val="nil"/>
              <w:left w:val="nil"/>
              <w:bottom w:val="nil"/>
              <w:right w:val="nil"/>
            </w:tcBorders>
            <w:shd w:val="clear" w:color="auto" w:fill="auto"/>
            <w:vAlign w:val="bottom"/>
            <w:hideMark/>
          </w:tcPr>
          <w:p w14:paraId="73B185C4" w14:textId="2001E53F"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83.1</w:t>
            </w:r>
          </w:p>
        </w:tc>
        <w:tc>
          <w:tcPr>
            <w:tcW w:w="748" w:type="pct"/>
            <w:tcBorders>
              <w:top w:val="nil"/>
              <w:left w:val="nil"/>
              <w:bottom w:val="nil"/>
              <w:right w:val="nil"/>
            </w:tcBorders>
            <w:shd w:val="clear" w:color="auto" w:fill="auto"/>
            <w:vAlign w:val="bottom"/>
            <w:hideMark/>
          </w:tcPr>
          <w:p w14:paraId="7C659BF2" w14:textId="224FF151"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74.1</w:t>
            </w:r>
          </w:p>
        </w:tc>
      </w:tr>
      <w:tr w:rsidR="00A11BE8" w:rsidRPr="0042187D" w14:paraId="155FA244" w14:textId="77777777" w:rsidTr="008F061B">
        <w:trPr>
          <w:cantSplit/>
          <w:trHeight w:val="20"/>
        </w:trPr>
        <w:tc>
          <w:tcPr>
            <w:tcW w:w="1039" w:type="pct"/>
            <w:tcBorders>
              <w:top w:val="nil"/>
              <w:left w:val="nil"/>
              <w:bottom w:val="nil"/>
              <w:right w:val="nil"/>
            </w:tcBorders>
            <w:shd w:val="clear" w:color="auto" w:fill="auto"/>
            <w:noWrap/>
            <w:vAlign w:val="bottom"/>
            <w:hideMark/>
          </w:tcPr>
          <w:p w14:paraId="216FAA33"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D-LSTM</w:t>
            </w:r>
          </w:p>
        </w:tc>
        <w:tc>
          <w:tcPr>
            <w:tcW w:w="756" w:type="pct"/>
            <w:tcBorders>
              <w:top w:val="nil"/>
              <w:left w:val="nil"/>
              <w:bottom w:val="nil"/>
              <w:right w:val="nil"/>
            </w:tcBorders>
            <w:shd w:val="clear" w:color="auto" w:fill="auto"/>
            <w:vAlign w:val="bottom"/>
            <w:hideMark/>
          </w:tcPr>
          <w:p w14:paraId="53E119ED" w14:textId="1B6ECA06"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83.3</w:t>
            </w:r>
          </w:p>
        </w:tc>
        <w:tc>
          <w:tcPr>
            <w:tcW w:w="756" w:type="pct"/>
            <w:tcBorders>
              <w:top w:val="nil"/>
              <w:left w:val="nil"/>
              <w:bottom w:val="nil"/>
              <w:right w:val="nil"/>
            </w:tcBorders>
            <w:shd w:val="clear" w:color="auto" w:fill="auto"/>
            <w:vAlign w:val="bottom"/>
            <w:hideMark/>
          </w:tcPr>
          <w:p w14:paraId="7DAC8A29" w14:textId="1968F55B"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72.8</w:t>
            </w:r>
          </w:p>
        </w:tc>
        <w:tc>
          <w:tcPr>
            <w:tcW w:w="1134" w:type="pct"/>
            <w:tcBorders>
              <w:top w:val="nil"/>
              <w:left w:val="nil"/>
              <w:bottom w:val="nil"/>
              <w:right w:val="nil"/>
            </w:tcBorders>
            <w:shd w:val="clear" w:color="auto" w:fill="auto"/>
            <w:noWrap/>
            <w:vAlign w:val="bottom"/>
            <w:hideMark/>
          </w:tcPr>
          <w:p w14:paraId="4D6A356B"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D-RNN</w:t>
            </w:r>
          </w:p>
        </w:tc>
        <w:tc>
          <w:tcPr>
            <w:tcW w:w="567" w:type="pct"/>
            <w:tcBorders>
              <w:top w:val="nil"/>
              <w:left w:val="nil"/>
              <w:bottom w:val="nil"/>
              <w:right w:val="nil"/>
            </w:tcBorders>
            <w:shd w:val="clear" w:color="auto" w:fill="auto"/>
            <w:vAlign w:val="bottom"/>
            <w:hideMark/>
          </w:tcPr>
          <w:p w14:paraId="7E901924" w14:textId="68A19B77"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83.2</w:t>
            </w:r>
          </w:p>
        </w:tc>
        <w:tc>
          <w:tcPr>
            <w:tcW w:w="748" w:type="pct"/>
            <w:tcBorders>
              <w:top w:val="nil"/>
              <w:left w:val="nil"/>
              <w:bottom w:val="nil"/>
              <w:right w:val="nil"/>
            </w:tcBorders>
            <w:shd w:val="clear" w:color="auto" w:fill="auto"/>
            <w:vAlign w:val="bottom"/>
            <w:hideMark/>
          </w:tcPr>
          <w:p w14:paraId="79218105" w14:textId="22D0988D"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70.9</w:t>
            </w:r>
          </w:p>
        </w:tc>
      </w:tr>
      <w:tr w:rsidR="00A11BE8" w:rsidRPr="0042187D" w14:paraId="26BB49CA" w14:textId="77777777" w:rsidTr="008F061B">
        <w:trPr>
          <w:cantSplit/>
          <w:trHeight w:val="20"/>
        </w:trPr>
        <w:tc>
          <w:tcPr>
            <w:tcW w:w="1039" w:type="pct"/>
            <w:tcBorders>
              <w:top w:val="nil"/>
              <w:left w:val="nil"/>
              <w:bottom w:val="nil"/>
              <w:right w:val="nil"/>
            </w:tcBorders>
            <w:shd w:val="clear" w:color="auto" w:fill="auto"/>
            <w:noWrap/>
            <w:vAlign w:val="bottom"/>
            <w:hideMark/>
          </w:tcPr>
          <w:p w14:paraId="10E0D183"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QRNN</w:t>
            </w:r>
          </w:p>
        </w:tc>
        <w:tc>
          <w:tcPr>
            <w:tcW w:w="756" w:type="pct"/>
            <w:tcBorders>
              <w:top w:val="nil"/>
              <w:left w:val="nil"/>
              <w:bottom w:val="nil"/>
              <w:right w:val="nil"/>
            </w:tcBorders>
            <w:shd w:val="clear" w:color="auto" w:fill="auto"/>
            <w:vAlign w:val="bottom"/>
            <w:hideMark/>
          </w:tcPr>
          <w:p w14:paraId="1BD25B05" w14:textId="0340BBCA"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83.2</w:t>
            </w:r>
          </w:p>
        </w:tc>
        <w:tc>
          <w:tcPr>
            <w:tcW w:w="756" w:type="pct"/>
            <w:tcBorders>
              <w:top w:val="nil"/>
              <w:left w:val="nil"/>
              <w:bottom w:val="nil"/>
              <w:right w:val="nil"/>
            </w:tcBorders>
            <w:shd w:val="clear" w:color="auto" w:fill="auto"/>
            <w:vAlign w:val="bottom"/>
            <w:hideMark/>
          </w:tcPr>
          <w:p w14:paraId="6FFA8CC8" w14:textId="34BE5427"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71.5</w:t>
            </w:r>
          </w:p>
        </w:tc>
        <w:tc>
          <w:tcPr>
            <w:tcW w:w="1134" w:type="pct"/>
            <w:tcBorders>
              <w:top w:val="nil"/>
              <w:left w:val="nil"/>
              <w:bottom w:val="nil"/>
              <w:right w:val="nil"/>
            </w:tcBorders>
            <w:shd w:val="clear" w:color="auto" w:fill="auto"/>
            <w:noWrap/>
            <w:vAlign w:val="bottom"/>
            <w:hideMark/>
          </w:tcPr>
          <w:p w14:paraId="2F2D219B" w14:textId="7D4FAC9C" w:rsidR="00A11BE8" w:rsidRPr="008F061B" w:rsidRDefault="00A11BE8" w:rsidP="008F061B">
            <w:pPr>
              <w:overflowPunct/>
              <w:autoSpaceDE/>
              <w:autoSpaceDN/>
              <w:adjustRightInd/>
              <w:ind w:right="-107"/>
              <w:textAlignment w:val="auto"/>
              <w:rPr>
                <w:b/>
                <w:bCs/>
                <w:sz w:val="18"/>
                <w:szCs w:val="18"/>
                <w:lang w:eastAsia="en-US"/>
              </w:rPr>
            </w:pPr>
            <w:r w:rsidRPr="008F061B">
              <w:rPr>
                <w:b/>
                <w:bCs/>
                <w:sz w:val="16"/>
                <w:szCs w:val="16"/>
                <w:lang w:eastAsia="en-US"/>
              </w:rPr>
              <w:t>Vanilla-</w:t>
            </w:r>
            <w:r w:rsidRPr="008F061B">
              <w:rPr>
                <w:b/>
                <w:bCs/>
                <w:sz w:val="18"/>
                <w:szCs w:val="18"/>
                <w:lang w:eastAsia="en-US"/>
              </w:rPr>
              <w:t>RNN</w:t>
            </w:r>
          </w:p>
        </w:tc>
        <w:tc>
          <w:tcPr>
            <w:tcW w:w="567" w:type="pct"/>
            <w:tcBorders>
              <w:top w:val="nil"/>
              <w:left w:val="nil"/>
              <w:bottom w:val="nil"/>
              <w:right w:val="nil"/>
            </w:tcBorders>
            <w:shd w:val="clear" w:color="auto" w:fill="auto"/>
            <w:vAlign w:val="bottom"/>
            <w:hideMark/>
          </w:tcPr>
          <w:p w14:paraId="716EFB44" w14:textId="3E278FD0"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83.3</w:t>
            </w:r>
          </w:p>
        </w:tc>
        <w:tc>
          <w:tcPr>
            <w:tcW w:w="748" w:type="pct"/>
            <w:tcBorders>
              <w:top w:val="nil"/>
              <w:left w:val="nil"/>
              <w:bottom w:val="nil"/>
              <w:right w:val="nil"/>
            </w:tcBorders>
            <w:shd w:val="clear" w:color="auto" w:fill="auto"/>
            <w:vAlign w:val="bottom"/>
            <w:hideMark/>
          </w:tcPr>
          <w:p w14:paraId="49AA563D" w14:textId="37ADBFBE"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63.9</w:t>
            </w:r>
          </w:p>
        </w:tc>
      </w:tr>
      <w:tr w:rsidR="00A11BE8" w:rsidRPr="0042187D" w14:paraId="5D01F9F1" w14:textId="77777777" w:rsidTr="008F061B">
        <w:trPr>
          <w:cantSplit/>
          <w:trHeight w:val="20"/>
        </w:trPr>
        <w:tc>
          <w:tcPr>
            <w:tcW w:w="1039" w:type="pct"/>
            <w:tcBorders>
              <w:top w:val="nil"/>
              <w:left w:val="nil"/>
              <w:bottom w:val="nil"/>
              <w:right w:val="nil"/>
            </w:tcBorders>
            <w:shd w:val="clear" w:color="auto" w:fill="auto"/>
            <w:noWrap/>
            <w:vAlign w:val="bottom"/>
            <w:hideMark/>
          </w:tcPr>
          <w:p w14:paraId="7A0A85DF"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RETAIN</w:t>
            </w:r>
          </w:p>
        </w:tc>
        <w:tc>
          <w:tcPr>
            <w:tcW w:w="756" w:type="pct"/>
            <w:tcBorders>
              <w:top w:val="nil"/>
              <w:left w:val="nil"/>
              <w:bottom w:val="nil"/>
              <w:right w:val="nil"/>
            </w:tcBorders>
            <w:shd w:val="clear" w:color="auto" w:fill="auto"/>
            <w:vAlign w:val="bottom"/>
            <w:hideMark/>
          </w:tcPr>
          <w:p w14:paraId="00BEC4C3" w14:textId="6DABA6A3"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83.8</w:t>
            </w:r>
          </w:p>
        </w:tc>
        <w:tc>
          <w:tcPr>
            <w:tcW w:w="756" w:type="pct"/>
            <w:tcBorders>
              <w:top w:val="nil"/>
              <w:left w:val="nil"/>
              <w:bottom w:val="nil"/>
              <w:right w:val="nil"/>
            </w:tcBorders>
            <w:shd w:val="clear" w:color="auto" w:fill="auto"/>
            <w:vAlign w:val="bottom"/>
            <w:hideMark/>
          </w:tcPr>
          <w:p w14:paraId="318F0CFC" w14:textId="7571817D"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70.1</w:t>
            </w:r>
          </w:p>
        </w:tc>
        <w:tc>
          <w:tcPr>
            <w:tcW w:w="1134" w:type="pct"/>
            <w:tcBorders>
              <w:top w:val="nil"/>
              <w:left w:val="nil"/>
              <w:bottom w:val="nil"/>
              <w:right w:val="nil"/>
            </w:tcBorders>
            <w:shd w:val="clear" w:color="auto" w:fill="auto"/>
            <w:noWrap/>
            <w:vAlign w:val="bottom"/>
            <w:hideMark/>
          </w:tcPr>
          <w:p w14:paraId="78890D2E"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RF</w:t>
            </w:r>
          </w:p>
        </w:tc>
        <w:tc>
          <w:tcPr>
            <w:tcW w:w="567" w:type="pct"/>
            <w:tcBorders>
              <w:top w:val="nil"/>
              <w:left w:val="nil"/>
              <w:bottom w:val="nil"/>
              <w:right w:val="nil"/>
            </w:tcBorders>
            <w:shd w:val="clear" w:color="auto" w:fill="auto"/>
            <w:vAlign w:val="bottom"/>
            <w:hideMark/>
          </w:tcPr>
          <w:p w14:paraId="3CCB8D0E" w14:textId="4F8FA9B8"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78.8</w:t>
            </w:r>
          </w:p>
        </w:tc>
        <w:tc>
          <w:tcPr>
            <w:tcW w:w="748" w:type="pct"/>
            <w:tcBorders>
              <w:top w:val="nil"/>
              <w:left w:val="nil"/>
              <w:bottom w:val="nil"/>
              <w:right w:val="nil"/>
            </w:tcBorders>
            <w:shd w:val="clear" w:color="auto" w:fill="auto"/>
            <w:vAlign w:val="bottom"/>
            <w:hideMark/>
          </w:tcPr>
          <w:p w14:paraId="67EF28ED" w14:textId="17BC94C2"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73.6</w:t>
            </w:r>
          </w:p>
        </w:tc>
      </w:tr>
      <w:tr w:rsidR="00A11BE8" w:rsidRPr="0042187D" w14:paraId="5DD8F645" w14:textId="77777777" w:rsidTr="008F061B">
        <w:trPr>
          <w:cantSplit/>
          <w:trHeight w:val="20"/>
        </w:trPr>
        <w:tc>
          <w:tcPr>
            <w:tcW w:w="1039" w:type="pct"/>
            <w:tcBorders>
              <w:top w:val="nil"/>
              <w:left w:val="nil"/>
              <w:bottom w:val="single" w:sz="4" w:space="0" w:color="auto"/>
              <w:right w:val="nil"/>
            </w:tcBorders>
            <w:shd w:val="clear" w:color="auto" w:fill="auto"/>
            <w:noWrap/>
            <w:vAlign w:val="bottom"/>
            <w:hideMark/>
          </w:tcPr>
          <w:p w14:paraId="2FDE7755" w14:textId="77777777" w:rsidR="00A11BE8" w:rsidRPr="008F061B" w:rsidRDefault="00A11BE8" w:rsidP="00C16C35">
            <w:pPr>
              <w:overflowPunct/>
              <w:autoSpaceDE/>
              <w:autoSpaceDN/>
              <w:adjustRightInd/>
              <w:textAlignment w:val="auto"/>
              <w:rPr>
                <w:b/>
                <w:bCs/>
                <w:sz w:val="18"/>
                <w:szCs w:val="18"/>
                <w:lang w:eastAsia="en-US"/>
              </w:rPr>
            </w:pPr>
            <w:r w:rsidRPr="008F061B">
              <w:rPr>
                <w:b/>
                <w:bCs/>
                <w:sz w:val="18"/>
                <w:szCs w:val="18"/>
                <w:lang w:eastAsia="en-US"/>
              </w:rPr>
              <w:t>LR</w:t>
            </w:r>
          </w:p>
        </w:tc>
        <w:tc>
          <w:tcPr>
            <w:tcW w:w="756" w:type="pct"/>
            <w:tcBorders>
              <w:top w:val="nil"/>
              <w:left w:val="nil"/>
              <w:bottom w:val="single" w:sz="4" w:space="0" w:color="auto"/>
              <w:right w:val="nil"/>
            </w:tcBorders>
            <w:shd w:val="clear" w:color="auto" w:fill="auto"/>
            <w:vAlign w:val="bottom"/>
            <w:hideMark/>
          </w:tcPr>
          <w:p w14:paraId="0494B71F" w14:textId="3470729E"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79.0</w:t>
            </w:r>
          </w:p>
        </w:tc>
        <w:tc>
          <w:tcPr>
            <w:tcW w:w="756" w:type="pct"/>
            <w:tcBorders>
              <w:top w:val="nil"/>
              <w:left w:val="nil"/>
              <w:bottom w:val="single" w:sz="4" w:space="0" w:color="auto"/>
              <w:right w:val="nil"/>
            </w:tcBorders>
            <w:shd w:val="clear" w:color="auto" w:fill="auto"/>
            <w:vAlign w:val="bottom"/>
            <w:hideMark/>
          </w:tcPr>
          <w:p w14:paraId="5841DF6D" w14:textId="207F925A" w:rsidR="00A11BE8" w:rsidRPr="008F061B" w:rsidRDefault="00A11BE8" w:rsidP="00C16C35">
            <w:pPr>
              <w:overflowPunct/>
              <w:autoSpaceDE/>
              <w:autoSpaceDN/>
              <w:adjustRightInd/>
              <w:jc w:val="right"/>
              <w:textAlignment w:val="auto"/>
              <w:rPr>
                <w:sz w:val="18"/>
                <w:szCs w:val="18"/>
                <w:lang w:eastAsia="en-US"/>
              </w:rPr>
            </w:pPr>
            <w:r w:rsidRPr="0042187D">
              <w:rPr>
                <w:sz w:val="18"/>
                <w:szCs w:val="18"/>
                <w:lang w:eastAsia="en-US"/>
              </w:rPr>
              <w:t>67.0</w:t>
            </w:r>
          </w:p>
        </w:tc>
        <w:tc>
          <w:tcPr>
            <w:tcW w:w="1134" w:type="pct"/>
            <w:tcBorders>
              <w:top w:val="nil"/>
              <w:left w:val="nil"/>
              <w:bottom w:val="single" w:sz="4" w:space="0" w:color="auto"/>
              <w:right w:val="nil"/>
            </w:tcBorders>
            <w:shd w:val="clear" w:color="auto" w:fill="auto"/>
            <w:noWrap/>
            <w:vAlign w:val="bottom"/>
            <w:hideMark/>
          </w:tcPr>
          <w:p w14:paraId="18C1DC37" w14:textId="77777777" w:rsidR="00A11BE8" w:rsidRPr="008F061B" w:rsidRDefault="00A11BE8" w:rsidP="00C16C35">
            <w:pPr>
              <w:overflowPunct/>
              <w:autoSpaceDE/>
              <w:autoSpaceDN/>
              <w:adjustRightInd/>
              <w:textAlignment w:val="auto"/>
              <w:rPr>
                <w:sz w:val="18"/>
                <w:szCs w:val="18"/>
                <w:lang w:eastAsia="en-US"/>
              </w:rPr>
            </w:pPr>
            <w:r w:rsidRPr="008F061B">
              <w:rPr>
                <w:sz w:val="18"/>
                <w:szCs w:val="18"/>
                <w:lang w:eastAsia="en-US"/>
              </w:rPr>
              <w:t> </w:t>
            </w:r>
          </w:p>
        </w:tc>
        <w:tc>
          <w:tcPr>
            <w:tcW w:w="567" w:type="pct"/>
            <w:tcBorders>
              <w:top w:val="nil"/>
              <w:left w:val="nil"/>
              <w:bottom w:val="single" w:sz="4" w:space="0" w:color="auto"/>
              <w:right w:val="nil"/>
            </w:tcBorders>
            <w:shd w:val="clear" w:color="auto" w:fill="auto"/>
            <w:noWrap/>
            <w:vAlign w:val="bottom"/>
            <w:hideMark/>
          </w:tcPr>
          <w:p w14:paraId="6029E5FF" w14:textId="77777777" w:rsidR="00A11BE8" w:rsidRPr="008F061B" w:rsidRDefault="00A11BE8" w:rsidP="00C16C35">
            <w:pPr>
              <w:overflowPunct/>
              <w:autoSpaceDE/>
              <w:autoSpaceDN/>
              <w:adjustRightInd/>
              <w:textAlignment w:val="auto"/>
              <w:rPr>
                <w:sz w:val="18"/>
                <w:szCs w:val="18"/>
                <w:lang w:eastAsia="en-US"/>
              </w:rPr>
            </w:pPr>
            <w:r w:rsidRPr="008F061B">
              <w:rPr>
                <w:sz w:val="18"/>
                <w:szCs w:val="18"/>
                <w:lang w:eastAsia="en-US"/>
              </w:rPr>
              <w:t> </w:t>
            </w:r>
          </w:p>
        </w:tc>
        <w:tc>
          <w:tcPr>
            <w:tcW w:w="748" w:type="pct"/>
            <w:tcBorders>
              <w:top w:val="nil"/>
              <w:left w:val="nil"/>
              <w:bottom w:val="single" w:sz="4" w:space="0" w:color="auto"/>
              <w:right w:val="nil"/>
            </w:tcBorders>
            <w:shd w:val="clear" w:color="auto" w:fill="auto"/>
            <w:noWrap/>
            <w:vAlign w:val="bottom"/>
            <w:hideMark/>
          </w:tcPr>
          <w:p w14:paraId="4269546F" w14:textId="77777777" w:rsidR="00A11BE8" w:rsidRPr="008F061B" w:rsidRDefault="00A11BE8" w:rsidP="00C16C35">
            <w:pPr>
              <w:overflowPunct/>
              <w:autoSpaceDE/>
              <w:autoSpaceDN/>
              <w:adjustRightInd/>
              <w:textAlignment w:val="auto"/>
              <w:rPr>
                <w:sz w:val="18"/>
                <w:szCs w:val="18"/>
                <w:lang w:eastAsia="en-US"/>
              </w:rPr>
            </w:pPr>
            <w:r w:rsidRPr="008F061B">
              <w:rPr>
                <w:sz w:val="18"/>
                <w:szCs w:val="18"/>
                <w:lang w:eastAsia="en-US"/>
              </w:rPr>
              <w:t> </w:t>
            </w:r>
          </w:p>
        </w:tc>
      </w:tr>
    </w:tbl>
    <w:p w14:paraId="2D99F08E" w14:textId="77777777" w:rsidR="00B03C55" w:rsidRDefault="00B03C55" w:rsidP="003873E2">
      <w:pPr>
        <w:rPr>
          <w:noProof/>
        </w:rPr>
      </w:pPr>
      <w:bookmarkStart w:id="0" w:name="_GoBack"/>
      <w:bookmarkEnd w:id="0"/>
    </w:p>
    <w:sectPr w:rsidR="00B03C55" w:rsidSect="007F64F2">
      <w:type w:val="continuous"/>
      <w:pgSz w:w="11907" w:h="16840" w:code="9"/>
      <w:pgMar w:top="562" w:right="567" w:bottom="562" w:left="567" w:header="0" w:footer="1440" w:gutter="0"/>
      <w:cols w:num="2" w:space="706"/>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5D9E4" w16cid:durableId="1F942404"/>
  <w16cid:commentId w16cid:paraId="540D54BB" w16cid:durableId="1F9010C5"/>
  <w16cid:commentId w16cid:paraId="3D14A491" w16cid:durableId="1F942F1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90DCC" w14:textId="77777777" w:rsidR="00DA39C9" w:rsidRDefault="00DA39C9">
      <w:r>
        <w:separator/>
      </w:r>
    </w:p>
  </w:endnote>
  <w:endnote w:type="continuationSeparator" w:id="0">
    <w:p w14:paraId="4EF4AA2F" w14:textId="77777777" w:rsidR="00DA39C9" w:rsidRDefault="00DA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A15B7" w14:textId="77777777" w:rsidR="00DA39C9" w:rsidRDefault="00DA39C9">
      <w:r>
        <w:separator/>
      </w:r>
    </w:p>
  </w:footnote>
  <w:footnote w:type="continuationSeparator" w:id="0">
    <w:p w14:paraId="05840C8F" w14:textId="77777777" w:rsidR="00DA39C9" w:rsidRDefault="00DA39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A67A9"/>
    <w:multiLevelType w:val="multilevel"/>
    <w:tmpl w:val="DB304650"/>
    <w:lvl w:ilvl="0">
      <w:start w:val="1"/>
      <w:numFmt w:val="decimal"/>
      <w:lvlText w:val="%1."/>
      <w:lvlJc w:val="left"/>
      <w:pPr>
        <w:ind w:left="720" w:hanging="360"/>
      </w:pPr>
      <w:rPr>
        <w:rFonts w:hint="default"/>
      </w:rPr>
    </w:lvl>
    <w:lvl w:ilvl="1">
      <w:start w:val="1"/>
      <w:numFmt w:val="decimal"/>
      <w:isLgl/>
      <w:lvlText w:val="%1.%2."/>
      <w:lvlJc w:val="left"/>
      <w:pPr>
        <w:ind w:left="1392" w:hanging="72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688"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672" w:hanging="1440"/>
      </w:pPr>
      <w:rPr>
        <w:rFonts w:hint="default"/>
      </w:rPr>
    </w:lvl>
    <w:lvl w:ilvl="7">
      <w:start w:val="1"/>
      <w:numFmt w:val="decimal"/>
      <w:isLgl/>
      <w:lvlText w:val="%1.%2.%3.%4.%5.%6.%7.%8."/>
      <w:lvlJc w:val="left"/>
      <w:pPr>
        <w:ind w:left="4344" w:hanging="1800"/>
      </w:pPr>
      <w:rPr>
        <w:rFonts w:hint="default"/>
      </w:rPr>
    </w:lvl>
    <w:lvl w:ilvl="8">
      <w:start w:val="1"/>
      <w:numFmt w:val="decimal"/>
      <w:isLgl/>
      <w:lvlText w:val="%1.%2.%3.%4.%5.%6.%7.%8.%9."/>
      <w:lvlJc w:val="left"/>
      <w:pPr>
        <w:ind w:left="4656" w:hanging="1800"/>
      </w:pPr>
      <w:rPr>
        <w:rFonts w:hint="default"/>
      </w:rPr>
    </w:lvl>
  </w:abstractNum>
  <w:abstractNum w:abstractNumId="13"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4" w15:restartNumberingAfterBreak="0">
    <w:nsid w:val="41675C3C"/>
    <w:multiLevelType w:val="hybridMultilevel"/>
    <w:tmpl w:val="1AEE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3"/>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NK8FAMlWbLEt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0C6D"/>
    <w:rsid w:val="00014549"/>
    <w:rsid w:val="000221AA"/>
    <w:rsid w:val="00027501"/>
    <w:rsid w:val="00034915"/>
    <w:rsid w:val="00064126"/>
    <w:rsid w:val="000675B1"/>
    <w:rsid w:val="00074739"/>
    <w:rsid w:val="000804ED"/>
    <w:rsid w:val="00086506"/>
    <w:rsid w:val="000A0412"/>
    <w:rsid w:val="000B18F4"/>
    <w:rsid w:val="000B1D12"/>
    <w:rsid w:val="000B2463"/>
    <w:rsid w:val="000B5BCA"/>
    <w:rsid w:val="000C2055"/>
    <w:rsid w:val="000C57D1"/>
    <w:rsid w:val="000D3B40"/>
    <w:rsid w:val="000E727A"/>
    <w:rsid w:val="000F1108"/>
    <w:rsid w:val="000F59AF"/>
    <w:rsid w:val="000F6DB2"/>
    <w:rsid w:val="000F720A"/>
    <w:rsid w:val="00104050"/>
    <w:rsid w:val="001045DE"/>
    <w:rsid w:val="00105E7D"/>
    <w:rsid w:val="00116055"/>
    <w:rsid w:val="00116B1A"/>
    <w:rsid w:val="001205A6"/>
    <w:rsid w:val="0012276C"/>
    <w:rsid w:val="00135DB2"/>
    <w:rsid w:val="00142CDF"/>
    <w:rsid w:val="00145A34"/>
    <w:rsid w:val="00151BBB"/>
    <w:rsid w:val="00160CA4"/>
    <w:rsid w:val="00160CF9"/>
    <w:rsid w:val="00162571"/>
    <w:rsid w:val="00162A4B"/>
    <w:rsid w:val="0017289A"/>
    <w:rsid w:val="001751EF"/>
    <w:rsid w:val="00177508"/>
    <w:rsid w:val="0018118A"/>
    <w:rsid w:val="001879F3"/>
    <w:rsid w:val="001B0AA8"/>
    <w:rsid w:val="001C5539"/>
    <w:rsid w:val="001D5C29"/>
    <w:rsid w:val="001E109A"/>
    <w:rsid w:val="001E20BE"/>
    <w:rsid w:val="001E2F2B"/>
    <w:rsid w:val="001E6FEF"/>
    <w:rsid w:val="001F0C1E"/>
    <w:rsid w:val="001F49F3"/>
    <w:rsid w:val="002027F0"/>
    <w:rsid w:val="0021327F"/>
    <w:rsid w:val="0022364C"/>
    <w:rsid w:val="00223F40"/>
    <w:rsid w:val="00232FA9"/>
    <w:rsid w:val="002412C2"/>
    <w:rsid w:val="00241756"/>
    <w:rsid w:val="00246F1C"/>
    <w:rsid w:val="00263E8A"/>
    <w:rsid w:val="00280EDB"/>
    <w:rsid w:val="00281339"/>
    <w:rsid w:val="002879F9"/>
    <w:rsid w:val="00297324"/>
    <w:rsid w:val="002A0370"/>
    <w:rsid w:val="002B1C14"/>
    <w:rsid w:val="002C06BD"/>
    <w:rsid w:val="002C1DC5"/>
    <w:rsid w:val="002C5888"/>
    <w:rsid w:val="002D247A"/>
    <w:rsid w:val="002D2741"/>
    <w:rsid w:val="002E0A82"/>
    <w:rsid w:val="002E3E86"/>
    <w:rsid w:val="002E6CAB"/>
    <w:rsid w:val="002F2F60"/>
    <w:rsid w:val="003124A9"/>
    <w:rsid w:val="0031795D"/>
    <w:rsid w:val="00327F0B"/>
    <w:rsid w:val="00337439"/>
    <w:rsid w:val="0034587F"/>
    <w:rsid w:val="0037639A"/>
    <w:rsid w:val="003873E2"/>
    <w:rsid w:val="00392AFA"/>
    <w:rsid w:val="00393FB0"/>
    <w:rsid w:val="003940F5"/>
    <w:rsid w:val="003C388C"/>
    <w:rsid w:val="003C3DD9"/>
    <w:rsid w:val="003D2956"/>
    <w:rsid w:val="003D356D"/>
    <w:rsid w:val="003E42EA"/>
    <w:rsid w:val="003F1B3D"/>
    <w:rsid w:val="003F26D2"/>
    <w:rsid w:val="004105CF"/>
    <w:rsid w:val="004106AC"/>
    <w:rsid w:val="004178D9"/>
    <w:rsid w:val="0042187D"/>
    <w:rsid w:val="00422332"/>
    <w:rsid w:val="00436B89"/>
    <w:rsid w:val="00441E80"/>
    <w:rsid w:val="00445C01"/>
    <w:rsid w:val="004470D4"/>
    <w:rsid w:val="00453BB4"/>
    <w:rsid w:val="00474A4B"/>
    <w:rsid w:val="00477AC6"/>
    <w:rsid w:val="00483099"/>
    <w:rsid w:val="00491A02"/>
    <w:rsid w:val="00494239"/>
    <w:rsid w:val="004A5872"/>
    <w:rsid w:val="004B2A10"/>
    <w:rsid w:val="004B58BF"/>
    <w:rsid w:val="004C03F7"/>
    <w:rsid w:val="004C4A64"/>
    <w:rsid w:val="004C594F"/>
    <w:rsid w:val="004D28C1"/>
    <w:rsid w:val="004D2C23"/>
    <w:rsid w:val="004D7D09"/>
    <w:rsid w:val="0050289B"/>
    <w:rsid w:val="00511081"/>
    <w:rsid w:val="0051539B"/>
    <w:rsid w:val="00515C58"/>
    <w:rsid w:val="00524869"/>
    <w:rsid w:val="00536DB5"/>
    <w:rsid w:val="00556981"/>
    <w:rsid w:val="0055752B"/>
    <w:rsid w:val="00560AEC"/>
    <w:rsid w:val="00561EBD"/>
    <w:rsid w:val="00581235"/>
    <w:rsid w:val="00586C08"/>
    <w:rsid w:val="005877E2"/>
    <w:rsid w:val="005933AA"/>
    <w:rsid w:val="0059647C"/>
    <w:rsid w:val="005978C7"/>
    <w:rsid w:val="005A62AF"/>
    <w:rsid w:val="005C1CE3"/>
    <w:rsid w:val="005C35B6"/>
    <w:rsid w:val="005D5684"/>
    <w:rsid w:val="005E0C06"/>
    <w:rsid w:val="005E14AB"/>
    <w:rsid w:val="005E75F6"/>
    <w:rsid w:val="0061081C"/>
    <w:rsid w:val="0061551C"/>
    <w:rsid w:val="00617F60"/>
    <w:rsid w:val="00633B27"/>
    <w:rsid w:val="00637A96"/>
    <w:rsid w:val="00661ED8"/>
    <w:rsid w:val="00662D84"/>
    <w:rsid w:val="00664CE6"/>
    <w:rsid w:val="00677D7A"/>
    <w:rsid w:val="00680354"/>
    <w:rsid w:val="00680E6B"/>
    <w:rsid w:val="00682543"/>
    <w:rsid w:val="006920EF"/>
    <w:rsid w:val="006B3AC3"/>
    <w:rsid w:val="006B6C91"/>
    <w:rsid w:val="006D1D3C"/>
    <w:rsid w:val="006E0FDB"/>
    <w:rsid w:val="006F0469"/>
    <w:rsid w:val="006F20EA"/>
    <w:rsid w:val="006F3E79"/>
    <w:rsid w:val="00704068"/>
    <w:rsid w:val="00707676"/>
    <w:rsid w:val="00714C3F"/>
    <w:rsid w:val="007172F4"/>
    <w:rsid w:val="00722FF6"/>
    <w:rsid w:val="00726B6A"/>
    <w:rsid w:val="00732494"/>
    <w:rsid w:val="0073302F"/>
    <w:rsid w:val="00734DBC"/>
    <w:rsid w:val="0074588A"/>
    <w:rsid w:val="00764E3C"/>
    <w:rsid w:val="00765189"/>
    <w:rsid w:val="00765C11"/>
    <w:rsid w:val="0077223C"/>
    <w:rsid w:val="007938BB"/>
    <w:rsid w:val="007A240D"/>
    <w:rsid w:val="007A2752"/>
    <w:rsid w:val="007A280C"/>
    <w:rsid w:val="007B1B83"/>
    <w:rsid w:val="007B4AEE"/>
    <w:rsid w:val="007D6A9E"/>
    <w:rsid w:val="007D7ECF"/>
    <w:rsid w:val="007E7F70"/>
    <w:rsid w:val="007F3C61"/>
    <w:rsid w:val="007F64F2"/>
    <w:rsid w:val="007F66B7"/>
    <w:rsid w:val="008028F3"/>
    <w:rsid w:val="008209EB"/>
    <w:rsid w:val="00821806"/>
    <w:rsid w:val="00822BA3"/>
    <w:rsid w:val="00827BDE"/>
    <w:rsid w:val="00843CD9"/>
    <w:rsid w:val="008531BF"/>
    <w:rsid w:val="00860E63"/>
    <w:rsid w:val="0086373A"/>
    <w:rsid w:val="00876A67"/>
    <w:rsid w:val="00877B8D"/>
    <w:rsid w:val="00882F06"/>
    <w:rsid w:val="00884831"/>
    <w:rsid w:val="0088603E"/>
    <w:rsid w:val="00890C91"/>
    <w:rsid w:val="008B5715"/>
    <w:rsid w:val="008D283F"/>
    <w:rsid w:val="008D5038"/>
    <w:rsid w:val="008E056D"/>
    <w:rsid w:val="008E6EEC"/>
    <w:rsid w:val="008E7D92"/>
    <w:rsid w:val="008E7F1D"/>
    <w:rsid w:val="008F061B"/>
    <w:rsid w:val="008F1B19"/>
    <w:rsid w:val="008F2292"/>
    <w:rsid w:val="008F30A7"/>
    <w:rsid w:val="008F3AF0"/>
    <w:rsid w:val="008F4126"/>
    <w:rsid w:val="009009E6"/>
    <w:rsid w:val="009037AC"/>
    <w:rsid w:val="00903EF3"/>
    <w:rsid w:val="00910453"/>
    <w:rsid w:val="009222FB"/>
    <w:rsid w:val="0092383D"/>
    <w:rsid w:val="00946500"/>
    <w:rsid w:val="0094740F"/>
    <w:rsid w:val="00956FD5"/>
    <w:rsid w:val="00960E21"/>
    <w:rsid w:val="00963024"/>
    <w:rsid w:val="00964C4F"/>
    <w:rsid w:val="00966857"/>
    <w:rsid w:val="009706C5"/>
    <w:rsid w:val="00976CAF"/>
    <w:rsid w:val="00980168"/>
    <w:rsid w:val="009910BE"/>
    <w:rsid w:val="009A6B2E"/>
    <w:rsid w:val="009B331C"/>
    <w:rsid w:val="009B5448"/>
    <w:rsid w:val="009C06F0"/>
    <w:rsid w:val="009C5400"/>
    <w:rsid w:val="009C5AF6"/>
    <w:rsid w:val="009D7A14"/>
    <w:rsid w:val="009F235E"/>
    <w:rsid w:val="009F27E7"/>
    <w:rsid w:val="00A02210"/>
    <w:rsid w:val="00A05FD2"/>
    <w:rsid w:val="00A07C4D"/>
    <w:rsid w:val="00A11BE8"/>
    <w:rsid w:val="00A16E86"/>
    <w:rsid w:val="00A2183B"/>
    <w:rsid w:val="00A21E5D"/>
    <w:rsid w:val="00A30333"/>
    <w:rsid w:val="00A41081"/>
    <w:rsid w:val="00A41B22"/>
    <w:rsid w:val="00A47251"/>
    <w:rsid w:val="00A47A1F"/>
    <w:rsid w:val="00A50A6B"/>
    <w:rsid w:val="00A65A0D"/>
    <w:rsid w:val="00A66E65"/>
    <w:rsid w:val="00A70EAB"/>
    <w:rsid w:val="00A7554C"/>
    <w:rsid w:val="00A764A0"/>
    <w:rsid w:val="00A95CDD"/>
    <w:rsid w:val="00AA2C36"/>
    <w:rsid w:val="00AC358F"/>
    <w:rsid w:val="00AE0884"/>
    <w:rsid w:val="00AE2204"/>
    <w:rsid w:val="00AE244A"/>
    <w:rsid w:val="00AE4D8A"/>
    <w:rsid w:val="00AF0BCE"/>
    <w:rsid w:val="00AF0C2B"/>
    <w:rsid w:val="00AF44F9"/>
    <w:rsid w:val="00B03C55"/>
    <w:rsid w:val="00B06DFF"/>
    <w:rsid w:val="00B129B0"/>
    <w:rsid w:val="00B12BC3"/>
    <w:rsid w:val="00B2011B"/>
    <w:rsid w:val="00B20B5A"/>
    <w:rsid w:val="00B241AF"/>
    <w:rsid w:val="00B25DA6"/>
    <w:rsid w:val="00B473CC"/>
    <w:rsid w:val="00B5571E"/>
    <w:rsid w:val="00B56EED"/>
    <w:rsid w:val="00B640A0"/>
    <w:rsid w:val="00B640AD"/>
    <w:rsid w:val="00B6688E"/>
    <w:rsid w:val="00B70405"/>
    <w:rsid w:val="00B72881"/>
    <w:rsid w:val="00B74081"/>
    <w:rsid w:val="00B97C01"/>
    <w:rsid w:val="00BA2E57"/>
    <w:rsid w:val="00BA534A"/>
    <w:rsid w:val="00BB2665"/>
    <w:rsid w:val="00BB4C23"/>
    <w:rsid w:val="00BB6A3A"/>
    <w:rsid w:val="00BC0854"/>
    <w:rsid w:val="00BC2728"/>
    <w:rsid w:val="00BC604A"/>
    <w:rsid w:val="00BD019E"/>
    <w:rsid w:val="00BD190F"/>
    <w:rsid w:val="00BD2431"/>
    <w:rsid w:val="00BF04D7"/>
    <w:rsid w:val="00BF4811"/>
    <w:rsid w:val="00BF6C16"/>
    <w:rsid w:val="00C03464"/>
    <w:rsid w:val="00C16C35"/>
    <w:rsid w:val="00C226F1"/>
    <w:rsid w:val="00C22B1C"/>
    <w:rsid w:val="00C35628"/>
    <w:rsid w:val="00C449B0"/>
    <w:rsid w:val="00C547DD"/>
    <w:rsid w:val="00C56333"/>
    <w:rsid w:val="00C60F53"/>
    <w:rsid w:val="00C7362C"/>
    <w:rsid w:val="00C74704"/>
    <w:rsid w:val="00C7778A"/>
    <w:rsid w:val="00C77915"/>
    <w:rsid w:val="00C83061"/>
    <w:rsid w:val="00C876F3"/>
    <w:rsid w:val="00C918D7"/>
    <w:rsid w:val="00C93E5E"/>
    <w:rsid w:val="00C94318"/>
    <w:rsid w:val="00CA1E45"/>
    <w:rsid w:val="00CB15B2"/>
    <w:rsid w:val="00CB40C8"/>
    <w:rsid w:val="00CB53A4"/>
    <w:rsid w:val="00CB5787"/>
    <w:rsid w:val="00CC007A"/>
    <w:rsid w:val="00CC1025"/>
    <w:rsid w:val="00CC7FE7"/>
    <w:rsid w:val="00CD6464"/>
    <w:rsid w:val="00CD79AE"/>
    <w:rsid w:val="00CE75C5"/>
    <w:rsid w:val="00CF54A9"/>
    <w:rsid w:val="00D046F6"/>
    <w:rsid w:val="00D36D16"/>
    <w:rsid w:val="00D37BB3"/>
    <w:rsid w:val="00D415AB"/>
    <w:rsid w:val="00D44A0A"/>
    <w:rsid w:val="00D659B3"/>
    <w:rsid w:val="00D664FC"/>
    <w:rsid w:val="00D772D2"/>
    <w:rsid w:val="00D80902"/>
    <w:rsid w:val="00D862D0"/>
    <w:rsid w:val="00DA0D30"/>
    <w:rsid w:val="00DA377F"/>
    <w:rsid w:val="00DA39C9"/>
    <w:rsid w:val="00DA5D03"/>
    <w:rsid w:val="00DB1B95"/>
    <w:rsid w:val="00DB6F55"/>
    <w:rsid w:val="00DC1C01"/>
    <w:rsid w:val="00DC52AF"/>
    <w:rsid w:val="00DC5700"/>
    <w:rsid w:val="00DC6A0E"/>
    <w:rsid w:val="00DD2314"/>
    <w:rsid w:val="00DD6330"/>
    <w:rsid w:val="00DD6495"/>
    <w:rsid w:val="00DE02AC"/>
    <w:rsid w:val="00DE37C6"/>
    <w:rsid w:val="00DE3D5C"/>
    <w:rsid w:val="00DF0947"/>
    <w:rsid w:val="00E255DE"/>
    <w:rsid w:val="00E25618"/>
    <w:rsid w:val="00E2722D"/>
    <w:rsid w:val="00E27E0B"/>
    <w:rsid w:val="00E37F9C"/>
    <w:rsid w:val="00E40F1B"/>
    <w:rsid w:val="00E45CC8"/>
    <w:rsid w:val="00E53B7F"/>
    <w:rsid w:val="00E644F1"/>
    <w:rsid w:val="00E7021D"/>
    <w:rsid w:val="00E80482"/>
    <w:rsid w:val="00E83071"/>
    <w:rsid w:val="00E8514B"/>
    <w:rsid w:val="00E86083"/>
    <w:rsid w:val="00E9096E"/>
    <w:rsid w:val="00E90B8B"/>
    <w:rsid w:val="00E94B71"/>
    <w:rsid w:val="00EA63D8"/>
    <w:rsid w:val="00EB34FA"/>
    <w:rsid w:val="00EB45EC"/>
    <w:rsid w:val="00EC0307"/>
    <w:rsid w:val="00EC03CC"/>
    <w:rsid w:val="00EC4C28"/>
    <w:rsid w:val="00ED2289"/>
    <w:rsid w:val="00EE19D5"/>
    <w:rsid w:val="00EE6582"/>
    <w:rsid w:val="00EE6BAF"/>
    <w:rsid w:val="00EF2B34"/>
    <w:rsid w:val="00EF3875"/>
    <w:rsid w:val="00EF4EAB"/>
    <w:rsid w:val="00F01474"/>
    <w:rsid w:val="00F01B68"/>
    <w:rsid w:val="00F03EF6"/>
    <w:rsid w:val="00F2041C"/>
    <w:rsid w:val="00F21C5B"/>
    <w:rsid w:val="00F269DA"/>
    <w:rsid w:val="00F278D7"/>
    <w:rsid w:val="00F27AFA"/>
    <w:rsid w:val="00F34381"/>
    <w:rsid w:val="00F45D6E"/>
    <w:rsid w:val="00F55E6E"/>
    <w:rsid w:val="00F70441"/>
    <w:rsid w:val="00F71667"/>
    <w:rsid w:val="00F8599A"/>
    <w:rsid w:val="00F95EFB"/>
    <w:rsid w:val="00FA1D00"/>
    <w:rsid w:val="00FA3522"/>
    <w:rsid w:val="00FB07AC"/>
    <w:rsid w:val="00FB3D01"/>
    <w:rsid w:val="00FB5A98"/>
    <w:rsid w:val="00FC22C6"/>
    <w:rsid w:val="00FC4120"/>
    <w:rsid w:val="00FD1CC1"/>
    <w:rsid w:val="00FD50E9"/>
    <w:rsid w:val="00FE3BDF"/>
    <w:rsid w:val="00FF0EFB"/>
    <w:rsid w:val="00FF10E5"/>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5:docId w15:val="{07E54746-5D8D-4DC1-82AF-0A919807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uiPriority w:val="99"/>
    <w:rsid w:val="00876A67"/>
    <w:rPr>
      <w:sz w:val="16"/>
      <w:szCs w:val="16"/>
    </w:rPr>
  </w:style>
  <w:style w:type="paragraph" w:styleId="CommentText">
    <w:name w:val="annotation text"/>
    <w:basedOn w:val="Normal"/>
    <w:link w:val="CommentTextChar"/>
    <w:uiPriority w:val="99"/>
    <w:rsid w:val="00876A67"/>
  </w:style>
  <w:style w:type="character" w:customStyle="1" w:styleId="CommentTextChar">
    <w:name w:val="Comment Text Char"/>
    <w:basedOn w:val="DefaultParagraphFont"/>
    <w:link w:val="CommentText"/>
    <w:uiPriority w:val="99"/>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 w:type="table" w:customStyle="1" w:styleId="3">
    <w:name w:val="3"/>
    <w:basedOn w:val="TableNormal"/>
    <w:rsid w:val="00145A34"/>
    <w:pPr>
      <w:spacing w:line="276" w:lineRule="auto"/>
    </w:pPr>
    <w:rPr>
      <w:rFonts w:ascii="Arial" w:eastAsia="Arial" w:hAnsi="Arial" w:cs="Arial"/>
      <w:sz w:val="22"/>
      <w:szCs w:val="22"/>
      <w:lang w:val="en"/>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5A34"/>
    <w:pPr>
      <w:overflowPunct/>
      <w:autoSpaceDE/>
      <w:autoSpaceDN/>
      <w:adjustRightInd/>
      <w:spacing w:line="276" w:lineRule="auto"/>
      <w:ind w:left="720"/>
      <w:contextualSpacing/>
      <w:textAlignment w:val="auto"/>
    </w:pPr>
    <w:rPr>
      <w:rFonts w:ascii="Arial" w:eastAsia="Arial" w:hAnsi="Arial" w:cs="Arial"/>
      <w:sz w:val="22"/>
      <w:szCs w:val="22"/>
      <w:lang w:val="en" w:eastAsia="en-US"/>
    </w:rPr>
  </w:style>
  <w:style w:type="character" w:styleId="Emphasis">
    <w:name w:val="Emphasis"/>
    <w:basedOn w:val="DefaultParagraphFont"/>
    <w:uiPriority w:val="20"/>
    <w:qFormat/>
    <w:rsid w:val="00145A34"/>
    <w:rPr>
      <w:i/>
      <w:iCs/>
    </w:rPr>
  </w:style>
  <w:style w:type="paragraph" w:styleId="Caption">
    <w:name w:val="caption"/>
    <w:basedOn w:val="Normal"/>
    <w:next w:val="Normal"/>
    <w:uiPriority w:val="35"/>
    <w:unhideWhenUsed/>
    <w:qFormat/>
    <w:rsid w:val="00145A34"/>
    <w:pPr>
      <w:overflowPunct/>
      <w:autoSpaceDE/>
      <w:autoSpaceDN/>
      <w:adjustRightInd/>
      <w:spacing w:after="200"/>
      <w:textAlignment w:val="auto"/>
    </w:pPr>
    <w:rPr>
      <w:rFonts w:ascii="Arial" w:eastAsia="Arial" w:hAnsi="Arial" w:cs="Arial"/>
      <w:i/>
      <w:iCs/>
      <w:color w:val="44546A" w:themeColor="text2"/>
      <w:sz w:val="18"/>
      <w:szCs w:val="18"/>
      <w:lang w:val="en" w:eastAsia="en-US"/>
    </w:rPr>
  </w:style>
  <w:style w:type="paragraph" w:styleId="Header">
    <w:name w:val="header"/>
    <w:basedOn w:val="Normal"/>
    <w:link w:val="HeaderChar"/>
    <w:unhideWhenUsed/>
    <w:rsid w:val="00105E7D"/>
    <w:pPr>
      <w:tabs>
        <w:tab w:val="center" w:pos="4680"/>
        <w:tab w:val="right" w:pos="9360"/>
      </w:tabs>
    </w:pPr>
  </w:style>
  <w:style w:type="character" w:customStyle="1" w:styleId="HeaderChar">
    <w:name w:val="Header Char"/>
    <w:basedOn w:val="DefaultParagraphFont"/>
    <w:link w:val="Header"/>
    <w:rsid w:val="00105E7D"/>
    <w:rPr>
      <w:rFonts w:ascii="Times New Roman" w:hAnsi="Times New Roman"/>
      <w:lang w:eastAsia="fr-FR"/>
    </w:rPr>
  </w:style>
  <w:style w:type="paragraph" w:styleId="Footer">
    <w:name w:val="footer"/>
    <w:basedOn w:val="Normal"/>
    <w:link w:val="FooterChar"/>
    <w:unhideWhenUsed/>
    <w:rsid w:val="00105E7D"/>
    <w:pPr>
      <w:tabs>
        <w:tab w:val="center" w:pos="4680"/>
        <w:tab w:val="right" w:pos="9360"/>
      </w:tabs>
    </w:pPr>
  </w:style>
  <w:style w:type="character" w:customStyle="1" w:styleId="FooterChar">
    <w:name w:val="Footer Char"/>
    <w:basedOn w:val="DefaultParagraphFont"/>
    <w:link w:val="Footer"/>
    <w:rsid w:val="00105E7D"/>
    <w:rPr>
      <w:rFonts w:ascii="Times New Roman" w:hAnsi="Times New Roman"/>
      <w:lang w:eastAsia="fr-FR"/>
    </w:rPr>
  </w:style>
  <w:style w:type="paragraph" w:styleId="Revision">
    <w:name w:val="Revision"/>
    <w:hidden/>
    <w:uiPriority w:val="71"/>
    <w:semiHidden/>
    <w:rsid w:val="004C03F7"/>
    <w:rPr>
      <w:rFonts w:ascii="Times New Roman" w:hAnsi="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36760">
      <w:bodyDiv w:val="1"/>
      <w:marLeft w:val="0"/>
      <w:marRight w:val="0"/>
      <w:marTop w:val="0"/>
      <w:marBottom w:val="0"/>
      <w:divBdr>
        <w:top w:val="none" w:sz="0" w:space="0" w:color="auto"/>
        <w:left w:val="none" w:sz="0" w:space="0" w:color="auto"/>
        <w:bottom w:val="none" w:sz="0" w:space="0" w:color="auto"/>
        <w:right w:val="none" w:sz="0" w:space="0" w:color="auto"/>
      </w:divBdr>
    </w:div>
    <w:div w:id="1017586205">
      <w:bodyDiv w:val="1"/>
      <w:marLeft w:val="0"/>
      <w:marRight w:val="0"/>
      <w:marTop w:val="0"/>
      <w:marBottom w:val="0"/>
      <w:divBdr>
        <w:top w:val="none" w:sz="0" w:space="0" w:color="auto"/>
        <w:left w:val="none" w:sz="0" w:space="0" w:color="auto"/>
        <w:bottom w:val="none" w:sz="0" w:space="0" w:color="auto"/>
        <w:right w:val="none" w:sz="0" w:space="0" w:color="auto"/>
      </w:divBdr>
    </w:div>
    <w:div w:id="1409645570">
      <w:bodyDiv w:val="1"/>
      <w:marLeft w:val="0"/>
      <w:marRight w:val="0"/>
      <w:marTop w:val="0"/>
      <w:marBottom w:val="0"/>
      <w:divBdr>
        <w:top w:val="none" w:sz="0" w:space="0" w:color="auto"/>
        <w:left w:val="none" w:sz="0" w:space="0" w:color="auto"/>
        <w:bottom w:val="none" w:sz="0" w:space="0" w:color="auto"/>
        <w:right w:val="none" w:sz="0" w:space="0" w:color="auto"/>
      </w:divBdr>
    </w:div>
    <w:div w:id="1519656796">
      <w:bodyDiv w:val="1"/>
      <w:marLeft w:val="0"/>
      <w:marRight w:val="0"/>
      <w:marTop w:val="0"/>
      <w:marBottom w:val="0"/>
      <w:divBdr>
        <w:top w:val="none" w:sz="0" w:space="0" w:color="auto"/>
        <w:left w:val="none" w:sz="0" w:space="0" w:color="auto"/>
        <w:bottom w:val="none" w:sz="0" w:space="0" w:color="auto"/>
        <w:right w:val="none" w:sz="0" w:space="0" w:color="auto"/>
      </w:divBdr>
    </w:div>
    <w:div w:id="1534684267">
      <w:bodyDiv w:val="1"/>
      <w:marLeft w:val="0"/>
      <w:marRight w:val="0"/>
      <w:marTop w:val="0"/>
      <w:marBottom w:val="0"/>
      <w:divBdr>
        <w:top w:val="none" w:sz="0" w:space="0" w:color="auto"/>
        <w:left w:val="none" w:sz="0" w:space="0" w:color="auto"/>
        <w:bottom w:val="none" w:sz="0" w:space="0" w:color="auto"/>
        <w:right w:val="none" w:sz="0" w:space="0" w:color="auto"/>
      </w:divBdr>
    </w:div>
    <w:div w:id="18502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86577-4FA7-43E5-B2EE-4D645ED7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2015_MEDINFO_Template_Master.dot</Template>
  <TotalTime>5</TotalTime>
  <Pages>1</Pages>
  <Words>4222</Words>
  <Characters>24066</Characters>
  <Application>Microsoft Office Word</Application>
  <DocSecurity>0</DocSecurity>
  <Lines>200</Lines>
  <Paragraphs>56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2015 MEDINFO Template</vt:lpstr>
      <vt:lpstr>2015 MEDINFO Template</vt:lpstr>
      <vt:lpstr>2015 MEDINFO Template</vt:lpstr>
    </vt:vector>
  </TitlesOfParts>
  <Company>IMIA</Company>
  <LinksUpToDate>false</LinksUpToDate>
  <CharactersWithSpaces>28232</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Bekhet, Laila R</cp:lastModifiedBy>
  <cp:revision>4</cp:revision>
  <cp:lastPrinted>2018-08-14T21:57:00Z</cp:lastPrinted>
  <dcterms:created xsi:type="dcterms:W3CDTF">2019-06-20T17:24:00Z</dcterms:created>
  <dcterms:modified xsi:type="dcterms:W3CDTF">2019-06-20T17:29:00Z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8dc29c15-ee35-363b-a2df-75ba7bc7bd23</vt:lpwstr>
  </property>
  <property fmtid="{D5CDD505-2E9C-101B-9397-08002B2CF9AE}" pid="4" name="Mendeley Citation Style_1">
    <vt:lpwstr>http://www.zotero.org/styles/ios-press-books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http://www.zotero.org/styles/ios-press-books</vt:lpwstr>
  </property>
  <property fmtid="{D5CDD505-2E9C-101B-9397-08002B2CF9AE}" pid="18" name="Mendeley Recent Style Name 6_1">
    <vt:lpwstr>IOS Press (books)</vt:lpwstr>
  </property>
  <property fmtid="{D5CDD505-2E9C-101B-9397-08002B2CF9AE}" pid="19" name="Mendeley Recent Style Id 7_1">
    <vt:lpwstr>http://www.zotero.org/styles/journal-of-biomedical-informatics</vt:lpwstr>
  </property>
  <property fmtid="{D5CDD505-2E9C-101B-9397-08002B2CF9AE}" pid="20" name="Mendeley Recent Style Name 7_1">
    <vt:lpwstr>Journal of Biomedical Informatics</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