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0826BF" w:rsidRDefault="000826BF" w:rsidP="000826BF">
      <w:pPr>
        <w:pStyle w:val="Author"/>
        <w:spacing w:before="5pt" w:beforeAutospacing="1"/>
        <w:jc w:val="start"/>
        <w:rPr>
          <w:sz w:val="18"/>
          <w:szCs w:val="18"/>
        </w:rPr>
      </w:pPr>
    </w:p>
    <w:p w:rsidR="004E57D5" w:rsidRDefault="004E57D5" w:rsidP="004E57D5">
      <w:pPr>
        <w:pStyle w:val="papertitle"/>
        <w:spacing w:before="5pt" w:beforeAutospacing="1" w:after="5pt" w:afterAutospacing="1"/>
        <w:rPr>
          <w:sz w:val="16"/>
          <w:szCs w:val="16"/>
        </w:rPr>
      </w:pPr>
      <w:r>
        <w:rPr>
          <w:kern w:val="48"/>
        </w:rPr>
        <w:t xml:space="preserve">Simple Recurrent Neural Network is All we Need for Clinical Events Prediction using EHR </w:t>
      </w:r>
    </w:p>
    <w:p w:rsidR="004E57D5" w:rsidRDefault="004E57D5" w:rsidP="004E57D5">
      <w:pPr>
        <w:pStyle w:val="Author"/>
        <w:spacing w:before="5pt" w:beforeAutospacing="1" w:after="5pt" w:afterAutospacing="1" w:line="6pt" w:lineRule="auto"/>
        <w:rPr>
          <w:sz w:val="16"/>
          <w:szCs w:val="16"/>
        </w:rPr>
      </w:pPr>
    </w:p>
    <w:p w:rsidR="004E57D5" w:rsidRPr="00CA4392" w:rsidRDefault="004E57D5" w:rsidP="004E57D5">
      <w:pPr>
        <w:pStyle w:val="Author"/>
        <w:spacing w:before="5pt" w:beforeAutospacing="1" w:after="5pt" w:afterAutospacing="1" w:line="6pt" w:lineRule="auto"/>
        <w:rPr>
          <w:sz w:val="16"/>
          <w:szCs w:val="16"/>
        </w:rPr>
        <w:sectPr w:rsidR="004E57D5" w:rsidRPr="00CA4392" w:rsidSect="004E57D5">
          <w:footerReference w:type="first" r:id="rId8"/>
          <w:type w:val="continuous"/>
          <w:pgSz w:w="595.30pt" w:h="841.90pt" w:code="9"/>
          <w:pgMar w:top="27pt" w:right="44.65pt" w:bottom="72pt" w:left="44.65pt" w:header="36pt" w:footer="36pt" w:gutter="0pt"/>
          <w:cols w:space="36pt"/>
          <w:titlePg/>
          <w:docGrid w:linePitch="360"/>
        </w:sectPr>
      </w:pPr>
    </w:p>
    <w:p w:rsidR="004E57D5" w:rsidRDefault="004E57D5" w:rsidP="004E57D5">
      <w:pPr>
        <w:pStyle w:val="Author"/>
        <w:spacing w:before="5pt" w:beforeAutospacing="1"/>
        <w:rPr>
          <w:sz w:val="18"/>
          <w:szCs w:val="18"/>
        </w:rPr>
      </w:pPr>
      <w:r>
        <w:rPr>
          <w:sz w:val="18"/>
          <w:szCs w:val="18"/>
        </w:rPr>
        <w:lastRenderedPageBreak/>
        <w:t>Laila</w:t>
      </w:r>
      <w:r w:rsidRPr="00F847A6">
        <w:rPr>
          <w:sz w:val="18"/>
          <w:szCs w:val="18"/>
        </w:rPr>
        <w:t xml:space="preserve"> </w:t>
      </w:r>
      <w:r>
        <w:rPr>
          <w:sz w:val="18"/>
          <w:szCs w:val="18"/>
        </w:rPr>
        <w:t>Rasmy</w:t>
      </w:r>
      <w:r w:rsidRPr="00F847A6">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Pr="00F847A6">
        <w:rPr>
          <w:sz w:val="18"/>
          <w:szCs w:val="18"/>
        </w:rPr>
        <w:t xml:space="preserve"> </w:t>
      </w:r>
      <w:r w:rsidRPr="00F847A6">
        <w:rPr>
          <w:sz w:val="18"/>
          <w:szCs w:val="18"/>
        </w:rPr>
        <w:br/>
      </w:r>
      <w:r>
        <w:rPr>
          <w:sz w:val="18"/>
          <w:szCs w:val="18"/>
        </w:rPr>
        <w:t>Laila.rasmy.gindybekhet@uth.tmc.edu</w:t>
      </w:r>
    </w:p>
    <w:p w:rsidR="004F5DED" w:rsidRDefault="004F5DED" w:rsidP="00E97FDC">
      <w:pPr>
        <w:pStyle w:val="Author"/>
        <w:spacing w:before="5pt" w:beforeAutospacing="1"/>
        <w:rPr>
          <w:sz w:val="18"/>
          <w:szCs w:val="18"/>
        </w:rPr>
      </w:pPr>
      <w:r>
        <w:rPr>
          <w:sz w:val="18"/>
          <w:szCs w:val="18"/>
        </w:rPr>
        <w:t>Yujia Zhou</w:t>
      </w:r>
      <w:r>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Pr="00F847A6">
        <w:rPr>
          <w:sz w:val="18"/>
          <w:szCs w:val="18"/>
        </w:rPr>
        <w:br/>
      </w:r>
    </w:p>
    <w:p w:rsidR="004E57D5" w:rsidRPr="00E97FDC" w:rsidRDefault="00E97FDC" w:rsidP="00E97FDC">
      <w:pPr>
        <w:pStyle w:val="Author"/>
        <w:spacing w:before="5pt" w:beforeAutospacing="1"/>
        <w:rPr>
          <w:i/>
          <w:sz w:val="18"/>
          <w:szCs w:val="18"/>
        </w:rPr>
      </w:pPr>
      <w:r>
        <w:rPr>
          <w:sz w:val="18"/>
          <w:szCs w:val="18"/>
        </w:rPr>
        <w:t>Yang Xiang</w:t>
      </w:r>
      <w:r w:rsidR="004E57D5">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004E57D5" w:rsidRPr="00F847A6">
        <w:rPr>
          <w:sz w:val="18"/>
          <w:szCs w:val="18"/>
        </w:rPr>
        <w:br/>
      </w:r>
      <w:r w:rsidR="004E57D5">
        <w:rPr>
          <w:sz w:val="18"/>
          <w:szCs w:val="18"/>
        </w:rPr>
        <w:br w:type="column"/>
      </w:r>
      <w:r w:rsidR="004E57D5">
        <w:rPr>
          <w:sz w:val="18"/>
          <w:szCs w:val="18"/>
        </w:rPr>
        <w:lastRenderedPageBreak/>
        <w:t>Jie Zhu</w:t>
      </w:r>
      <w:r w:rsidR="004E57D5" w:rsidRPr="00F847A6">
        <w:rPr>
          <w:sz w:val="18"/>
          <w:szCs w:val="18"/>
        </w:rPr>
        <w:br/>
      </w:r>
      <w:r>
        <w:rPr>
          <w:i/>
          <w:sz w:val="18"/>
          <w:szCs w:val="18"/>
        </w:rPr>
        <w:t>Department of Biostatistics, School of Public Health</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004E57D5" w:rsidRPr="00F847A6">
        <w:rPr>
          <w:sz w:val="18"/>
          <w:szCs w:val="18"/>
        </w:rPr>
        <w:br/>
      </w:r>
    </w:p>
    <w:p w:rsidR="004F5DED" w:rsidRDefault="004F5DED" w:rsidP="004F5DED">
      <w:pPr>
        <w:pStyle w:val="1TITLE"/>
        <w:spacing w:before="0pt" w:after="0pt"/>
        <w:ind w:firstLine="36pt"/>
        <w:jc w:val="both"/>
        <w:rPr>
          <w:sz w:val="18"/>
          <w:szCs w:val="18"/>
        </w:rPr>
      </w:pPr>
      <w:r w:rsidRPr="004F5DED">
        <w:rPr>
          <w:rFonts w:eastAsia="SimSun"/>
          <w:b w:val="0"/>
          <w:noProof/>
          <w:kern w:val="0"/>
          <w:sz w:val="18"/>
          <w:szCs w:val="18"/>
          <w:lang w:eastAsia="en-US"/>
        </w:rPr>
        <w:t>Hong Thoai Tran</w:t>
      </w:r>
      <w:r>
        <w:rPr>
          <w:sz w:val="18"/>
          <w:szCs w:val="18"/>
        </w:rPr>
        <w:t xml:space="preserve"> </w:t>
      </w:r>
    </w:p>
    <w:p w:rsidR="004F5DED" w:rsidRDefault="004F5DED" w:rsidP="00E97FDC">
      <w:pPr>
        <w:pStyle w:val="Author"/>
        <w:spacing w:before="0pt" w:after="0pt"/>
        <w:rPr>
          <w:sz w:val="18"/>
          <w:szCs w:val="18"/>
        </w:rPr>
      </w:pPr>
      <w:r>
        <w:rPr>
          <w:i/>
          <w:sz w:val="18"/>
          <w:szCs w:val="18"/>
        </w:rPr>
        <w:t>Department of Biostatistics, School of Public Health</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Pr="00F847A6">
        <w:rPr>
          <w:sz w:val="18"/>
          <w:szCs w:val="18"/>
        </w:rPr>
        <w:br/>
      </w:r>
    </w:p>
    <w:p w:rsidR="00E97FDC" w:rsidRDefault="00E97FDC" w:rsidP="00E97FDC">
      <w:pPr>
        <w:pStyle w:val="Author"/>
        <w:spacing w:before="0pt" w:after="0pt"/>
        <w:rPr>
          <w:sz w:val="18"/>
          <w:szCs w:val="18"/>
        </w:rPr>
      </w:pPr>
      <w:r>
        <w:rPr>
          <w:sz w:val="18"/>
          <w:szCs w:val="18"/>
        </w:rPr>
        <w:t>Hua Xu</w:t>
      </w:r>
      <w:r w:rsidR="004E57D5" w:rsidRPr="00F847A6">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p>
    <w:p w:rsidR="004F5DED" w:rsidRDefault="004F5DED" w:rsidP="00E97FDC">
      <w:pPr>
        <w:pStyle w:val="Author"/>
        <w:spacing w:before="0pt" w:after="0pt"/>
        <w:rPr>
          <w:sz w:val="18"/>
          <w:szCs w:val="18"/>
        </w:rPr>
      </w:pPr>
      <w:hyperlink r:id="rId9" w:history="1">
        <w:r w:rsidRPr="00F836A8">
          <w:rPr>
            <w:rStyle w:val="Hyperlink"/>
            <w:sz w:val="18"/>
            <w:szCs w:val="18"/>
          </w:rPr>
          <w:t>Hua.Xu@uth.tmc.edu</w:t>
        </w:r>
      </w:hyperlink>
    </w:p>
    <w:p w:rsidR="00E97FDC" w:rsidRDefault="004E57D5" w:rsidP="00E97FDC">
      <w:pPr>
        <w:pStyle w:val="Author"/>
        <w:spacing w:before="0pt" w:after="0pt"/>
        <w:rPr>
          <w:i/>
          <w:sz w:val="18"/>
          <w:szCs w:val="18"/>
        </w:rPr>
      </w:pPr>
      <w:r w:rsidRPr="00F847A6">
        <w:rPr>
          <w:sz w:val="18"/>
          <w:szCs w:val="18"/>
        </w:rPr>
        <w:br/>
      </w:r>
      <w:r>
        <w:rPr>
          <w:sz w:val="18"/>
          <w:szCs w:val="18"/>
        </w:rPr>
        <w:br w:type="column"/>
      </w:r>
      <w:r>
        <w:rPr>
          <w:sz w:val="18"/>
          <w:szCs w:val="18"/>
        </w:rPr>
        <w:lastRenderedPageBreak/>
        <w:t>Zhiheng Li</w:t>
      </w:r>
      <w:r w:rsidRPr="00F847A6">
        <w:rPr>
          <w:sz w:val="18"/>
          <w:szCs w:val="18"/>
        </w:rPr>
        <w:br/>
      </w:r>
      <w:r w:rsidR="00E97FDC" w:rsidRPr="00E97FDC">
        <w:rPr>
          <w:i/>
          <w:sz w:val="18"/>
          <w:szCs w:val="18"/>
        </w:rPr>
        <w:t>School of C</w:t>
      </w:r>
      <w:r w:rsidR="00E97FDC">
        <w:rPr>
          <w:i/>
          <w:sz w:val="18"/>
          <w:szCs w:val="18"/>
        </w:rPr>
        <w:t>omputer Science and Technology</w:t>
      </w:r>
    </w:p>
    <w:p w:rsidR="00E97FDC" w:rsidRDefault="00E97FDC" w:rsidP="00E97FDC">
      <w:pPr>
        <w:pStyle w:val="Author"/>
        <w:spacing w:before="0pt" w:after="0pt"/>
        <w:rPr>
          <w:i/>
          <w:sz w:val="18"/>
          <w:szCs w:val="18"/>
        </w:rPr>
      </w:pPr>
      <w:r w:rsidRPr="00E97FDC">
        <w:rPr>
          <w:i/>
          <w:sz w:val="18"/>
          <w:szCs w:val="18"/>
        </w:rPr>
        <w:t>Dalian University of Technology</w:t>
      </w:r>
    </w:p>
    <w:p w:rsidR="004E57D5" w:rsidRDefault="00E97FDC" w:rsidP="00E97FDC">
      <w:pPr>
        <w:pStyle w:val="Author"/>
        <w:spacing w:before="0pt" w:after="0pt"/>
        <w:rPr>
          <w:i/>
          <w:sz w:val="18"/>
          <w:szCs w:val="18"/>
        </w:rPr>
      </w:pPr>
      <w:r w:rsidRPr="00E97FDC">
        <w:rPr>
          <w:sz w:val="18"/>
          <w:szCs w:val="18"/>
        </w:rPr>
        <w:t>Dalian, China</w:t>
      </w:r>
      <w:r w:rsidR="004E57D5" w:rsidRPr="00F847A6">
        <w:rPr>
          <w:sz w:val="18"/>
          <w:szCs w:val="18"/>
        </w:rPr>
        <w:br/>
      </w:r>
    </w:p>
    <w:p w:rsidR="004F5DED" w:rsidRDefault="004F5DED" w:rsidP="00E97FDC">
      <w:pPr>
        <w:pStyle w:val="Author"/>
        <w:spacing w:before="0pt" w:after="0pt"/>
        <w:rPr>
          <w:i/>
          <w:sz w:val="18"/>
          <w:szCs w:val="18"/>
        </w:rPr>
      </w:pPr>
    </w:p>
    <w:p w:rsidR="004F5DED" w:rsidRDefault="004F5DED" w:rsidP="00E97FDC">
      <w:pPr>
        <w:pStyle w:val="Author"/>
        <w:spacing w:before="0pt" w:after="0pt"/>
        <w:rPr>
          <w:i/>
          <w:sz w:val="18"/>
          <w:szCs w:val="18"/>
        </w:rPr>
      </w:pPr>
      <w:r>
        <w:rPr>
          <w:sz w:val="18"/>
          <w:szCs w:val="18"/>
        </w:rPr>
        <w:t>Firat Tiryaki</w:t>
      </w:r>
      <w:r>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p>
    <w:p w:rsidR="004F5DED" w:rsidRDefault="004F5DED" w:rsidP="00E97FDC">
      <w:pPr>
        <w:pStyle w:val="Author"/>
        <w:spacing w:before="0pt" w:after="0pt"/>
        <w:rPr>
          <w:i/>
          <w:sz w:val="18"/>
          <w:szCs w:val="18"/>
        </w:rPr>
      </w:pPr>
    </w:p>
    <w:p w:rsidR="004E57D5" w:rsidRDefault="004E57D5" w:rsidP="004E57D5">
      <w:pPr>
        <w:pStyle w:val="Author"/>
        <w:spacing w:before="5pt" w:beforeAutospacing="1"/>
        <w:rPr>
          <w:sz w:val="18"/>
          <w:szCs w:val="18"/>
        </w:rPr>
      </w:pPr>
      <w:r>
        <w:rPr>
          <w:sz w:val="18"/>
          <w:szCs w:val="18"/>
        </w:rPr>
        <w:t>Degui Zhi</w:t>
      </w:r>
      <w:r w:rsidRPr="00F847A6">
        <w:rPr>
          <w:sz w:val="18"/>
          <w:szCs w:val="18"/>
        </w:rPr>
        <w:br/>
      </w:r>
      <w:r>
        <w:rPr>
          <w:i/>
          <w:sz w:val="18"/>
          <w:szCs w:val="18"/>
        </w:rPr>
        <w:t>School of Biomedical Informatics</w:t>
      </w:r>
      <w:r>
        <w:rPr>
          <w:i/>
          <w:sz w:val="18"/>
          <w:szCs w:val="18"/>
        </w:rPr>
        <w:br/>
        <w:t>University of Texas Health Science Center in Houston</w:t>
      </w:r>
      <w:r w:rsidRPr="00F847A6">
        <w:rPr>
          <w:i/>
          <w:sz w:val="18"/>
          <w:szCs w:val="18"/>
        </w:rPr>
        <w:t xml:space="preserve"> of organization </w:t>
      </w:r>
      <w:r>
        <w:rPr>
          <w:i/>
          <w:sz w:val="18"/>
          <w:szCs w:val="18"/>
        </w:rPr>
        <w:br/>
      </w:r>
      <w:r>
        <w:rPr>
          <w:sz w:val="18"/>
          <w:szCs w:val="18"/>
        </w:rPr>
        <w:t>Houston, Texas, USA</w:t>
      </w:r>
      <w:r w:rsidRPr="00F847A6">
        <w:rPr>
          <w:sz w:val="18"/>
          <w:szCs w:val="18"/>
        </w:rPr>
        <w:t xml:space="preserve"> </w:t>
      </w:r>
      <w:r w:rsidRPr="00F847A6">
        <w:rPr>
          <w:sz w:val="18"/>
          <w:szCs w:val="18"/>
        </w:rPr>
        <w:br/>
      </w:r>
      <w:hyperlink r:id="rId10" w:history="1">
        <w:r w:rsidRPr="00F836A8">
          <w:rPr>
            <w:rStyle w:val="Hyperlink"/>
            <w:sz w:val="18"/>
            <w:szCs w:val="18"/>
          </w:rPr>
          <w:t>Degui.Zhi@uth.tmc.edu</w:t>
        </w:r>
      </w:hyperlink>
    </w:p>
    <w:p w:rsidR="004E57D5" w:rsidRDefault="004E57D5" w:rsidP="004E57D5">
      <w:pPr>
        <w:pStyle w:val="Author"/>
        <w:spacing w:before="5pt" w:beforeAutospacing="1"/>
        <w:rPr>
          <w:sz w:val="18"/>
          <w:szCs w:val="18"/>
        </w:rPr>
      </w:pPr>
    </w:p>
    <w:p w:rsidR="00CC0498" w:rsidRDefault="00CC0498" w:rsidP="004E57D5">
      <w:pPr>
        <w:pStyle w:val="Author"/>
        <w:spacing w:before="5pt" w:beforeAutospacing="1"/>
        <w:jc w:val="both"/>
        <w:sectPr w:rsidR="00CC0498" w:rsidSect="003B4E04">
          <w:type w:val="continuous"/>
          <w:pgSz w:w="595.30pt" w:h="841.90pt" w:code="9"/>
          <w:pgMar w:top="22.50pt" w:right="44.65pt" w:bottom="72pt" w:left="44.65pt" w:header="36pt" w:footer="36pt" w:gutter="0pt"/>
          <w:cols w:num="3" w:space="36pt"/>
          <w:docGrid w:linePitch="360"/>
        </w:sectPr>
      </w:pPr>
    </w:p>
    <w:p w:rsidR="009303D9" w:rsidRPr="005B520E" w:rsidRDefault="009303D9">
      <w:pPr>
        <w:sectPr w:rsidR="009303D9" w:rsidRPr="005B520E" w:rsidSect="00CC0498">
          <w:type w:val="continuous"/>
          <w:pgSz w:w="595.30pt" w:h="841.90pt" w:code="9"/>
          <w:pgMar w:top="22.50pt" w:right="44.65pt" w:bottom="72pt" w:left="44.65pt" w:header="36pt" w:footer="36pt" w:gutter="0pt"/>
          <w:cols w:num="2" w:space="36pt"/>
          <w:docGrid w:linePitch="360"/>
        </w:sectPr>
      </w:pPr>
    </w:p>
    <w:p w:rsidR="00E97FDC" w:rsidRPr="00E97FDC" w:rsidRDefault="00E97FDC" w:rsidP="00E97FDC">
      <w:pPr>
        <w:pStyle w:val="Abstract"/>
        <w:rPr>
          <w:b w:val="0"/>
          <w:bCs w:val="0"/>
          <w:i/>
          <w:iCs/>
        </w:rPr>
      </w:pPr>
      <w:r>
        <w:rPr>
          <w:i/>
          <w:iCs/>
        </w:rPr>
        <w:lastRenderedPageBreak/>
        <w:t>Abstract</w:t>
      </w:r>
      <w:r>
        <w:t>—</w:t>
      </w:r>
      <w:r w:rsidRPr="00E97FDC">
        <w:rPr>
          <w:b w:val="0"/>
          <w:bCs w:val="0"/>
          <w:i/>
          <w:iCs/>
        </w:rPr>
        <w:t xml:space="preserve">Recently it is of great interest to investigate the application of deep learning models for the prediction of clinical events using electronic health records (EHR) data. In EHR data, the longitudinal history of a patient is often represented as sequence data, where each patient can be represented as a sequence of visits, and each visit contains multiple events. As a result, deep learning models developed for sequence modeling, especially recurrent neural networks (RNNs), were developed for EHR-based clinical events prediction </w:t>
      </w:r>
      <w:r w:rsidRPr="00E97FDC">
        <w:rPr>
          <w:b w:val="0"/>
          <w:bCs w:val="0"/>
          <w:i/>
          <w:iCs/>
        </w:rPr>
        <w:fldChar w:fldCharType="begin" w:fldLock="1"/>
      </w:r>
      <w:r w:rsidR="0000768D">
        <w:rPr>
          <w:b w:val="0"/>
          <w:bCs w:val="0"/>
          <w:i/>
          <w:iCs/>
        </w:rPr>
        <w:instrText>ADDIN CSL_CITATION {"citationItems":[{"id":"ITEM-1","itemData":{"DOI":"10.1093/jamia/ocy068","ISSN":"1067-5027","author":[{"dropping-particle":"","family":"Xiao","given":"Cao","non-dropping-particle":"","parse-names":false,"suffix":""},{"dropping-particle":"","family":"Choi","given":"Edward","non-dropping-particle":"","parse-names":false,"suffix":""},{"dropping-particle":"","family":"Sun","given":"Jimeng","non-dropping-particle":"","parse-names":false,"suffix":""}],"container-title":"Journal of the American Medical Informatics Association","id":"ITEM-1","issued":{"date-parts":[["2018","6","8"]]},"title":"Opportunities and challenges in developing deep learning models using electronic health records data: a systematic review","type":"article-journal"},"uris":["http://www.mendeley.com/documents/?uuid=b2be95dc-5865-3703-8476-9e8d5cbb3af3"]}],"mendeley":{"formattedCitation":"[1]","plainTextFormattedCitation":"[1]","previouslyFormattedCitation":"(Xiao, Choi, &amp; Sun, 2018)"},"properties":{"noteIndex":0},"schema":"https://github.com/citation-style-language/schema/raw/master/csl-citation.json"}</w:instrText>
      </w:r>
      <w:r w:rsidRPr="00E97FDC">
        <w:rPr>
          <w:b w:val="0"/>
          <w:bCs w:val="0"/>
          <w:i/>
          <w:iCs/>
        </w:rPr>
        <w:fldChar w:fldCharType="separate"/>
      </w:r>
      <w:r w:rsidR="0000768D" w:rsidRPr="0000768D">
        <w:rPr>
          <w:b w:val="0"/>
          <w:bCs w:val="0"/>
          <w:iCs/>
          <w:noProof/>
        </w:rPr>
        <w:t>[1]</w:t>
      </w:r>
      <w:r w:rsidRPr="00E97FDC">
        <w:rPr>
          <w:b w:val="0"/>
          <w:bCs w:val="0"/>
          <w:i/>
          <w:iCs/>
        </w:rPr>
        <w:fldChar w:fldCharType="end"/>
      </w:r>
      <w:r w:rsidRPr="00E97FDC">
        <w:rPr>
          <w:b w:val="0"/>
          <w:bCs w:val="0"/>
          <w:i/>
          <w:iCs/>
        </w:rPr>
        <w:t xml:space="preserve">. </w:t>
      </w:r>
    </w:p>
    <w:p w:rsidR="00E97FDC" w:rsidRPr="00E97FDC" w:rsidRDefault="00E97FDC" w:rsidP="00E97FDC">
      <w:pPr>
        <w:pStyle w:val="Keywords"/>
      </w:pPr>
      <w:r w:rsidRPr="004D72B5">
        <w:t>Keywords—</w:t>
      </w:r>
      <w:r w:rsidRPr="00E97FDC">
        <w:t>Deep Learning, Patient-Specific Modeling, Electronic Health Records</w:t>
      </w:r>
    </w:p>
    <w:p w:rsidR="00E97FDC" w:rsidRDefault="00E97FDC" w:rsidP="00E97FDC">
      <w:pPr>
        <w:pStyle w:val="Heading1"/>
        <w:numPr>
          <w:ilvl w:val="0"/>
          <w:numId w:val="0"/>
        </w:numPr>
        <w:jc w:val="both"/>
      </w:pPr>
    </w:p>
    <w:p w:rsidR="009303D9" w:rsidRPr="00D632BE" w:rsidRDefault="009303D9" w:rsidP="006B6B66">
      <w:pPr>
        <w:pStyle w:val="Heading1"/>
      </w:pPr>
      <w:r w:rsidRPr="00D632BE">
        <w:t xml:space="preserve">Introduction </w:t>
      </w:r>
    </w:p>
    <w:p w:rsidR="00E97FDC" w:rsidRPr="00E97FDC" w:rsidRDefault="00E97FDC" w:rsidP="00E97FDC">
      <w:pPr>
        <w:pStyle w:val="BodyText"/>
      </w:pPr>
      <w:r>
        <w:t xml:space="preserve">Recently we witness tremendous </w:t>
      </w:r>
      <w:r w:rsidRPr="00B37CD0">
        <w:t>efforts</w:t>
      </w:r>
      <w:r>
        <w:t xml:space="preserve"> in applying deep learning models to predict clinical events as electronic health records (EHR) data are becoming increasingly available. Deep learning methods are being developed to predict </w:t>
      </w:r>
      <w:r w:rsidRPr="00B37CD0">
        <w:t>mortality, early</w:t>
      </w:r>
      <w:r>
        <w:t xml:space="preserve"> readmission, transfer to ICU ,extensive length of stay, and disease onset risks </w:t>
      </w:r>
      <w:r>
        <w:fldChar w:fldCharType="begin" w:fldLock="1"/>
      </w:r>
      <w:r w:rsidR="0000768D">
        <w:instrText>ADDIN CSL_CITATION {"citationItems":[{"id":"ITEM-1","itemData":{"DOI":"10.1038/s41746-018-0029-1","ISSN":"2398-6352","abstract":"Predictive modeling with electronic health record (EHR) data is anticipated to drive personalized medicine and improve healthcare quality. Constructing predictive statistical models typically requires extraction of curated predictor variables from normalized EHR data, a labor-intensive process that discards the vast majority of information in each patient’s record. We propose a representation of patients’ entire raw EHR records based on the Fast Healthcare Interoperability Resources (FHIR) format. We demonstrate that deep learning methods using this representation are capable of accurately predicting multiple medical events from multiple centers without site-specific data harmonization. We validated our approach using de-identified EHR data from two US academic medical centers with 216,221 adult patients hospitalized for at least 24 h. In the sequential format we propose, this volume of EHR data unrolled into a total of 46,864,534,945 data points, including clinical notes. Deep learning models achieved high accuracy for tasks such as predicting: in-hospital mortality (area under the receiver operator curve [AUROC] across sites 0.93–0.94), 30-day unplanned readmission (AUROC 0.75–0.76), prolonged length of stay (AUROC 0.85–0.86), and all of a patient’s final discharge diagnoses (frequency-weighted AUROC 0.90). These models outperformed traditional, clinically-used predictive models in all cases. We believe that this approach can be used to create accurate and scalable predictions for a variety of clinical scenarios. In a case study of a particular prediction, we demonstrate that neural networks can be used to identify relevant information from the patient’s chart.","author":[{"dropping-particle":"","family":"Rajkomar","given":"Alvin","non-dropping-particle":"","parse-names":false,"suffix":""},{"dropping-particle":"","family":"Oren","given":"Eyal","non-dropping-particle":"","parse-names":false,"suffix":""},{"dropping-particle":"","family":"Chen","given":"Kai","non-dropping-particle":"","parse-names":false,"suffix":""},{"dropping-particle":"","family":"Dai","given":"Andrew M.","non-dropping-particle":"","parse-names":false,"suffix":""},{"dropping-particle":"","family":"Hajaj","given":"Nissan","non-dropping-particle":"","parse-names":false,"suffix":""},{"dropping-particle":"","family":"Hardt","given":"Michaela","non-dropping-particle":"","parse-names":false,"suffix":""},{"dropping-particle":"","family":"Liu","given":"Peter J.","non-dropping-particle":"","parse-names":false,"suffix":""},{"dropping-particle":"","family":"Liu","given":"Xiaobing","non-dropping-particle":"","parse-names":false,"suffix":""},{"dropping-particle":"","family":"Marcus","given":"Jake","non-dropping-particle":"","parse-names":false,"suffix":""},{"dropping-particle":"","family":"Sun","given":"Mimi","non-dropping-particle":"","parse-names":false,"suffix":""},{"dropping-particle":"","family":"Sundberg","given":"Patrik","non-dropping-particle":"","parse-names":false,"suffix":""},{"dropping-particle":"","family":"Yee","given":"Hector","non-dropping-particle":"","parse-names":false,"suffix":""},{"dropping-particle":"","family":"Zhang","given":"Kun","non-dropping-particle":"","parse-names":false,"suffix":""},{"dropping-particle":"","family":"Zhang","given":"Yi","non-dropping-particle":"","parse-names":false,"suffix":""},{"dropping-particle":"","family":"Flores","given":"Gerardo","non-dropping-particle":"","parse-names":false,"suffix":""},{"dropping-particle":"","family":"Duggan","given":"Gavin E.","non-dropping-particle":"","parse-names":false,"suffix":""},{"dropping-particle":"","family":"Irvine","given":"Jamie","non-dropping-particle":"","parse-names":false,"suffix":""},{"dropping-particle":"","family":"Le","given":"Quoc","non-dropping-particle":"","parse-names":false,"suffix":""},{"dropping-particle":"","family":"Litsch","given":"Kurt","non-dropping-particle":"","parse-names":false,"suffix":""},{"dropping-particle":"","family":"Mossin","given":"Alexander","non-dropping-particle":"","parse-names":false,"suffix":""},{"dropping-particle":"","family":"Tansuwan","given":"Justin","non-dropping-particle":"","parse-names":false,"suffix":""},{"dropping-particle":"","family":"Wang","given":"De","non-dropping-particle":"","parse-names":false,"suffix":""},{"dropping-particle":"","family":"Wexler","given":"James","non-dropping-particle":"","parse-names":false,"suffix":""},{"dropping-particle":"","family":"Wilson","given":"Jimbo","non-dropping-particle":"","parse-names":false,"suffix":""},{"dropping-particle":"","family":"Ludwig","given":"Dana","non-dropping-particle":"","parse-names":false,"suffix":""},{"dropping-particle":"","family":"Volchenboum","given":"Samuel L.","non-dropping-particle":"","parse-names":false,"suffix":""},{"dropping-particle":"","family":"Chou","given":"Katherine","non-dropping-particle":"","parse-names":false,"suffix":""},{"dropping-particle":"","family":"Pearson","given":"Michael","non-dropping-particle":"","parse-names":false,"suffix":""},{"dropping-particle":"","family":"Madabushi","given":"Srinivasan","non-dropping-particle":"","parse-names":false,"suffix":""},{"dropping-particle":"","family":"Shah","given":"Nigam H.","non-dropping-particle":"","parse-names":false,"suffix":""},{"dropping-particle":"","family":"Butte","given":"Atul J.","non-dropping-particle":"","parse-names":false,"suffix":""},{"dropping-particle":"","family":"Howell","given":"Michael D.","non-dropping-particle":"","parse-names":false,"suffix":""},{"dropping-particle":"","family":"Cui","given":"Claire","non-dropping-particle":"","parse-names":false,"suffix":""},{"dropping-particle":"","family":"Corrado","given":"Greg S.","non-dropping-particle":"","parse-names":false,"suffix":""},{"dropping-particle":"","family":"Dean","given":"Jeffrey","non-dropping-particle":"","parse-names":false,"suffix":""}],"container-title":"npj Digital Medicine","id":"ITEM-1","issue":"1","issued":{"date-parts":[["2018","12","8"]]},"page":"18","publisher":"Nature Publishing Group","title":"Scalable and accurate deep learning with electronic health records","type":"article-journal","volume":"1"},"uris":["http://www.mendeley.com/documents/?uuid=a563f553-bb5b-3181-aed4-35b73cc1191f"]}],"mendeley":{"formattedCitation":"[2]","plainTextFormattedCitation":"[2]","previouslyFormattedCitation":"(Rajkomar et al., 2018)"},"properties":{"noteIndex":0},"schema":"https://github.com/citation-style-language/schema/raw/master/csl-citation.json"}</w:instrText>
      </w:r>
      <w:r>
        <w:fldChar w:fldCharType="separate"/>
      </w:r>
      <w:r w:rsidR="0000768D" w:rsidRPr="0000768D">
        <w:rPr>
          <w:noProof/>
        </w:rPr>
        <w:t>[2]</w:t>
      </w:r>
      <w:r>
        <w:fldChar w:fldCharType="end"/>
      </w:r>
      <w:r>
        <w:fldChar w:fldCharType="begin" w:fldLock="1"/>
      </w:r>
      <w:r w:rsidR="0000768D">
        <w:instrText xml:space="preserve">ADDIN CSL_CITATION {"citationItems":[{"id":"ITEM-1","itemData":{"ISSN":"10495258","abstract":"Accuracy and interpretability are two dominant features of successful predictive models. Typically, a choice must be made in favor of complex black box models such as recurrent neural networks (RNN) for accuracy versus less accurate but more interpretable traditional models such as logistic regression. This tradeoff poses challenges in medicine where both accuracy and interpretability are important. We addressed this challenge by developing the REverse Time AttentIoN model (RETAIN) for application to Electronic Health Records (EHR) data. RETAIN achieves high accuracy while remaining clinically interpretable and is based on a two-level neural attention model that detects influential past visits and significant clinical variables within those visits (e.g. key diagnoses). RETAIN mimics physician practice by attending the EHR data in a reverse time order so that recent clinical visits are likely to receive higher attention. RETAIN was tested on a large health system EHR dataset with 14 million visits completed by 263K patients over an 8 year period and demonstrated predictive accuracy and computational scalability comparable to state-of-the-art methods such as RNN, and ease of interpretability comparable to traditional models.","author":[{"dropping-particle":"","family":"Choi","given":"Edward","non-dropping-particle":"","parse-names":false,"suffix":""},{"dropping-particle":"","family":"Bahadori","given":"Mohammad Taha","non-dropping-particle":"","parse-names":false,"suffix":""},{"dropping-particle":"","family":"Kulas","given":"Joshua A.","non-dropping-particle":"","parse-names":false,"suffix":""},{"dropping-particle":"","family":"Schuetz","given":"Andy","non-dropping-particle":"","parse-names":false,"suffix":""},{"dropping-particle":"","family":"Stewart","given":"Walter F.","non-dropping-particle":"","parse-names":false,"suffix":""},{"dropping-particle":"","family":"Sun","given":"Jimeng","non-dropping-particle":"","parse-names":false,"suffix":""}],"container-title":"Advances in Neural Information Processing Systems","id":"ITEM-1","issued":{"date-parts":[["2016"]]},"page":"3504-3512","title":"RETAIN: An Interpretable Predictive Model for Healthcare using Reverse Time Attention Mechanism","type":"article-journal"},"uris":["http://www.mendeley.com/documents/?uuid=cb914a97-0e7c-3e12-9005-00334f1bf474"]},{"id":"ITEM-2","itemData":{"DOI":"10.1161/CIRCHEARTFAILURE.115.002912","ISSN":"1941-3297","PMID":"27514749","abstract":"BACKGROUND Heart failure (HF) inpatient mortality prediction models can help clinicians make treatment decisions and researchers conduct observational studies; however, published models have not been validated in external populations. METHODS AND RESULTS We compared the performance of 7 models that predict inpatient mortality in patients hospitalized with acute decompensated heart failure: 4 HF-specific mortality prediction models developed from 3 clinical databases (ADHERE [Acute Decompensated Heart Failure National Registry], EFFECT study [Enhanced Feedback for Effective Cardiac Treatment], and GWTG-HF registry [Get With the Guidelines-Heart Failure]); 2 administrative HF mortality prediction models (Premier, Premier+); and a model that uses clinical data but is not specific for HF (Laboratory-Based Acute Physiology Score [LAPS2]). Using a multihospital, electronic health record-derived data set (HealthFacts [Cerner Corp], 2010-2012), we identified patients </w:instrText>
      </w:r>
      <w:r w:rsidR="0000768D">
        <w:rPr>
          <w:rFonts w:hint="eastAsia"/>
        </w:rPr>
        <w:instrText>≥</w:instrText>
      </w:r>
      <w:r w:rsidR="0000768D">
        <w:instrText>18 years admitted with HF. Of 13 163 eligible patients, median age was 74 years; half were women; and 27% were black. In-hospital mortality was 4.3%. Model-predicted mortality ranges varied: Premier+ (0.8%-23.1%), LAPS2 (0.7%-19.0%), ADHERE (1.2%-17.4%), EFFECT (1.0%-12.8%), GWTG-Eapen (1.2%-13.8%), and GWTG-Peterson (1.1%-12.8%). The LAPS2 and Premier models outperformed the clinical models (C statistics: LAPS2 0.80 [95% confidence interval 0.78-0.82], Premier models 0.81 [95% confidence interval 0.79-0.83] and 0.76 [95% confidence interval 0.74-0.78], and clinical models 0.68 to 0.70). CONCLUSIONS Four clinically derived, inpatient, HF mortality models exhibited similar performance, with C statistics near 0.70. Three other models, 1 developed in electronic health record data and 2 developed in administrative data, also were predictive, with C statistics from 0.76 to 0.80. Because every model performed acceptably, the decision to use a given model should depend on practical concerns and intended use.","author":[{"dropping-particle":"","family":"Lagu","given":"Tara","non-dropping-particle":"","parse-names":false,"suffix":""},{"dropping-particle":"","family":"Pekow","given":"Penelope S","non-dropping-particle":"","parse-names":false,"suffix":""},{"dropping-particle":"","family":"Shieh","given":"Meng-Shiou","non-dropping-particle":"","parse-names":false,"suffix":""},{"dropping-particle":"","family":"Stefan","given":"Mihaela","non-dropping-particle":"","parse-names":false,"suffix":""},{"dropping-particle":"","family":"Pack","given":"Quinn R","non-dropping-particle":"","parse-names":false,"suffix":""},{"dropping-particle":"","family":"Kashef","given":"Mohammad Amin","non-dropping-particle":"","parse-names":false,"suffix":""},{"dropping-particle":"","family":"Atreya","given":"Auras R","non-dropping-particle":"","parse-names":false,"suffix":""},{"dropping-particle":"","family":"Valania","given":"Gregory","non-dropping-particle":"","parse-names":false,"suffix":""},{"dropping-particle":"","family":"Slawsky","given":"Mara T","non-dropping-particle":"","parse-names":false,"suffix":""},{"dropping-particle":"","family":"Lindenauer","given":"Peter K","non-dropping-particle":"","parse-names":false,"suffix":""}],"container-title":"Circulation. Heart failure","id":"ITEM-2","issue":"8","issued":{"date-parts":[["2016","8","1"]]},"page":"e002912","publisher":"American Heart Association, Inc.","title":"Validation and Comparison of Seven Mortality Prediction Models for Hospitalized Patients With Acute Decompensated Heart Failure.","type":"article-journal","volume":"9"},"uris":["http://www.mendeley.com/documents/?uuid=e5d04285-a7bb-3428-abc9-5ac294f49a3e"]},{"id":"ITEM-3","itemData":{"PMID":"28286600","abstract":"Leveraging large historical data in electronic health record (EHR), we developed Doctor AI, a generic predictive model that covers observed medical conditions and medication uses. Doctor AI is a temporal model using recurrent neural networks (RNN) and was developed and applied to longitudinal time stamped EHR data from 260K patients over 8 years. Encounter records (e.g. diagnosis codes, medication codes or procedure codes) were input to RNN to predict (all) the diagnosis and medication categories for a subsequent visit. Doctor AI assesses the history of patients to make multilabel predictions (one label for each diagnosis or medication category). Based on separate blind test set evaluation, Doctor AI can perform differential diagnosis with up to 79% recall@30, significantly higher than several baselines. Moreover, we demonstrate great generalizability of Doctor AI by adapting the resulting models from one institution to another without losing substantial accuracy.","author":[{"dropping-particle":"","family":"Choi","given":"Edward","non-dropping-particle":"","parse-names":false,"suffix":""},{"dropping-particle":"","family":"Bahadori","given":"Mohammad Taha","non-dropping-particle":"","parse-names":false,"suffix":""},{"dropping-particle":"","family":"Schuetz","given":"Andy","non-dropping-particle":"","parse-names":false,"suffix":""},{"dropping-particle":"","family":"Stewart","given":"Walter F","non-dropping-particle":"","parse-names":false,"suffix":""},{"dropping-particle":"","family":"Sun","given":"Jimeng","non-dropping-particle":"","parse-names":false,"suffix":""}],"container-title":"JMLR workshop and conference proceedings","id":"ITEM-3","issued":{"date-parts":[["2016","8"]]},"page":"301-318","publisher":"NIH Public Access","title":"Doctor AI: Predicting Clinical Events via Recurrent Neural Networks.","type":"article-journal","volume":"56"},"uris":["http://www.mendeley.com/documents/?uuid=8d896cf6-14cd-3878-b366-9162e7bc3cca"]}],"mendeley":{"formattedCitation":"[3]–[5]","plainTextFormattedCitation":"[3]–[5]","previouslyFormattedCitation":"(Choi, Bahadori, Kulas, et al., 2016; Choi, Bahadori, Schuetz, Stewart, &amp; Sun, 2016; Lagu et al., 2016)"},"properties":{"noteIndex":0},"schema":"https://github.com/citation-style-language/schema/raw/master/csl-citation.json"}</w:instrText>
      </w:r>
      <w:r>
        <w:fldChar w:fldCharType="separate"/>
      </w:r>
      <w:r w:rsidR="0000768D" w:rsidRPr="0000768D">
        <w:rPr>
          <w:noProof/>
        </w:rPr>
        <w:t>[3]–[5]</w:t>
      </w:r>
      <w:r>
        <w:fldChar w:fldCharType="end"/>
      </w:r>
      <w:r>
        <w:t xml:space="preserve">. Even though deep learning models showing promising results to predict diagnoses given features from the EHR, leveraging the dependencies of multiple comorbidities in </w:t>
      </w:r>
      <w:r w:rsidRPr="00B37CD0">
        <w:t>a heterogeneous</w:t>
      </w:r>
      <w:r>
        <w:t xml:space="preserve"> population of patients remains a </w:t>
      </w:r>
      <w:r w:rsidRPr="00B37CD0">
        <w:t>very</w:t>
      </w:r>
      <w:r>
        <w:t xml:space="preserve"> challenging problem </w:t>
      </w:r>
      <w:r>
        <w:fldChar w:fldCharType="begin" w:fldLock="1"/>
      </w:r>
      <w:r w:rsidR="0000768D">
        <w:instrText>ADDIN CSL_CITATION {"citationItems":[{"id":"ITEM-1","itemData":{"abstract":"Predicting diagnoses from Electronic Health Records (EHRs) is an important medical application of multi-label learning. We propose a convolutional residual model for multi-label classification from doctor notes in EHR data. A given patient may have multiple diagnoses, and therefore multi-label learning is required. We employ a Convolutional Neural Network (CNN) to encode plain text into a fixed-length sentence embedding vector. Since diagnoses are typically correlated, a deep residual network is employed on top of the CNN encoder, to capture label (diagnosis) dependencies and incorporate information directly from the encoded sentence vector. A real EHR dataset is considered, and we compare the proposed model with several well-known baselines, to predict diagnoses based on doctor notes. Experimental results demonstrate the superiority of the proposed convolutional residual model.","author":[{"dropping-particle":"","family":"Zhang","given":"Xinyuan","non-dropping-particle":"","parse-names":false,"suffix":""},{"dropping-particle":"","family":"Henao","given":"Ricardo","non-dropping-particle":"","parse-names":false,"suffix":""},{"dropping-particle":"","family":"Gan","given":"Zhe","non-dropping-particle":"","parse-names":false,"suffix":""},{"dropping-particle":"","family":"Li","given":"Yitong","non-dropping-particle":"","parse-names":false,"suffix":""},{"dropping-particle":"","family":"Carin","given":"Lawrence","non-dropping-particle":"","parse-names":false,"suffix":""}],"id":"ITEM-1","issued":{"date-parts":[["2018","1","15"]]},"title":"Multi-Label Learning from Medical Plain Text with Convolutional Residual Models","type":"article-journal"},"uris":["http://www.mendeley.com/documents/?uuid=d1041fbb-02a7-37eb-8b98-44e2949da2d4"]}],"mendeley":{"formattedCitation":"[6]","plainTextFormattedCitation":"[6]","previouslyFormattedCitation":"(Zhang, Henao, Gan, Li, &amp; Carin, 2018)"},"properties":{"noteIndex":0},"schema":"https://github.com/citation-style-language/schema/raw/master/csl-citation.json"}</w:instrText>
      </w:r>
      <w:r>
        <w:fldChar w:fldCharType="separate"/>
      </w:r>
      <w:r w:rsidR="0000768D" w:rsidRPr="0000768D">
        <w:rPr>
          <w:noProof/>
        </w:rPr>
        <w:t>[6]</w:t>
      </w:r>
      <w:r>
        <w:fldChar w:fldCharType="end"/>
      </w:r>
      <w:r>
        <w:t xml:space="preserve">.  </w:t>
      </w:r>
      <w:r w:rsidRPr="00E97FDC">
        <w:t xml:space="preserve"> </w:t>
      </w:r>
    </w:p>
    <w:p w:rsidR="00E97FDC" w:rsidRPr="00E97FDC" w:rsidRDefault="00E97FDC" w:rsidP="00E97FDC">
      <w:pPr>
        <w:pStyle w:val="BodyText"/>
      </w:pPr>
    </w:p>
    <w:p w:rsidR="00E97FDC" w:rsidRDefault="00E97FDC" w:rsidP="00E97FDC">
      <w:pPr>
        <w:pStyle w:val="BodyText"/>
      </w:pPr>
      <w:r>
        <w:t xml:space="preserve">Because of the temporality of a patient’s health records, EHR data are often represented as sequence data, where each patient can be represented as a sequence of visits, and each visit contains multiple events. Therefore, the rich set of deep learning models developed for sequence modeling, mainly from NLP, audio, and video modeling community, </w:t>
      </w:r>
      <w:r>
        <w:lastRenderedPageBreak/>
        <w:t xml:space="preserve">can be applied to EHR data. Recurrent neural networks with gating mechanisms </w:t>
      </w:r>
      <w:r>
        <w:fldChar w:fldCharType="begin" w:fldLock="1"/>
      </w:r>
      <w:r w:rsidR="0000768D">
        <w:instrText>ADDIN CSL_CITATION {"citationItems":[{"id":"ITEM-1","itemData":{"abstract":"Learning to store information over extended time intervals via recurrent backpropagation takes a very long time, mostly due to insuucient, decaying error back ow. We brieey review Hochreiter's 1991 analysis of this problem, then address it by introducing a novel, eecient, gradient-based method called \\Long Short-Term Memory\" (LSTM). Truncating the gradient where this does not do harm, LSTM can learn to bridge minimal time lags in excess of 1000 discrete time steps by enforcing constant error ow through \\constant error carrousels\" within special units. Multiplicative gate units learn to open and close access to the constant error ow. LSTM is local in space and time; its computational complexity per time step and weight is O(1). Our experiments with artiicial data involve local, distributed, real-valued, and noisy pattern representations. In comparisons with RTRL, BPTT, Recurrent Cascade-Correlation, Elman nets, and Neural Sequence Chunking, LSTM leads to many more successful runs, and learns much faster. LSTM also solves complex, artiicial long time lag tasks that have never been solved by previous recurrent network algorithms.","author":[{"dropping-particle":"","family":"Hochreiter","given":"Sepp","non-dropping-particle":"","parse-names":false,"suffix":""},{"dropping-particle":"","family":"Urgen Schmidhuber","given":"J J","non-dropping-particle":"","parse-names":false,"suffix":""}],"container-title":"MEMORY Neural Computation","id":"ITEM-1","issue":"8","issued":{"date-parts":[["1997"]]},"page":"1735-1780","title":"Long Short-Term Memory","type":"article-journal","volume":"9"},"uris":["http://www.mendeley.com/documents/?uuid=41b78ef4-0d74-3b59-94e6-57343bbe4b44"]},{"id":"ITEM-2","itemData":{"abstract":"In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id":"ITEM-2","issued":{"date-parts":[["0"]]},"title":"Learning Phrase Representations using RNN Encoder-Decoder for Statistical Machine Translation","type":"report"},"uris":["http://www.mendeley.com/documents/?uuid=2d753c3e-ee57-3830-88e1-e153d7f92d22"]}],"mendeley":{"formattedCitation":"[7], [8]","plainTextFormattedCitation":"[7], [8]","previouslyFormattedCitation":"(Cho et al., n.d.; Hochreiter &amp; Urgen Schmidhuber, 1997)"},"properties":{"noteIndex":0},"schema":"https://github.com/citation-style-language/schema/raw/master/csl-citation.json"}</w:instrText>
      </w:r>
      <w:r>
        <w:fldChar w:fldCharType="separate"/>
      </w:r>
      <w:r w:rsidR="0000768D" w:rsidRPr="0000768D">
        <w:rPr>
          <w:noProof/>
        </w:rPr>
        <w:t>[7], [8]</w:t>
      </w:r>
      <w:r>
        <w:fldChar w:fldCharType="end"/>
      </w:r>
      <w:r>
        <w:t xml:space="preserve"> for passing long-term dependencies are extensively investigated in NLP tasks and are promising network architectures for EHR data modeling. Such networks include Long and Short Term Memory (LSTM) and Gated Recurrent Unit (GRU) cell </w:t>
      </w:r>
      <w:r w:rsidR="004F5DED">
        <w:t>architectures</w:t>
      </w:r>
      <w:r>
        <w:t xml:space="preserve">.  Indeed, multiple LSTM/GRU-based methods for EHR-based prediction have been developed </w:t>
      </w:r>
      <w:r>
        <w:fldChar w:fldCharType="begin" w:fldLock="1"/>
      </w:r>
      <w:r w:rsidR="0000768D">
        <w:instrText>ADDIN CSL_CITATION {"citationItems":[{"id":"ITEM-1","itemData":{"ISSN":"10495258","abstract":"Accuracy and interpretability are two dominant features of successful predictive models. Typically, a choice must be made in favor of complex black box models such as recurrent neural networks (RNN) for accuracy versus less accurate but more interpretable traditional models such as logistic regression. This tradeoff poses challenges in medicine where both accuracy and interpretability are important. We addressed this challenge by developing the REverse Time AttentIoN model (RETAIN) for application to Electronic Health Records (EHR) data. RETAIN achieves high accuracy while remaining clinically interpretable and is based on a two-level neural attention model that detects influential past visits and significant clinical variables within those visits (e.g. key diagnoses). RETAIN mimics physician practice by attending the EHR data in a reverse time order so that recent clinical visits are likely to receive higher attention. RETAIN was tested on a large health system EHR dataset with 14 million visits completed by 263K patients over an 8 year period and demonstrated predictive accuracy and computational scalability comparable to state-of-the-art methods such as RNN, and ease of interpretability comparable to traditional models.","author":[{"dropping-particle":"","family":"Choi","given":"Edward","non-dropping-particle":"","parse-names":false,"suffix":""},{"dropping-particle":"","family":"Bahadori","given":"Mohammad Taha","non-dropping-particle":"","parse-names":false,"suffix":""},{"dropping-particle":"","family":"Kulas","given":"Joshua A.","non-dropping-particle":"","parse-names":false,"suffix":""},{"dropping-particle":"","family":"Schuetz","given":"Andy","non-dropping-particle":"","parse-names":false,"suffix":""},{"dropping-particle":"","family":"Stewart","given":"Walter F.","non-dropping-particle":"","parse-names":false,"suffix":""},{"dropping-particle":"","family":"Sun","given":"Jimeng","non-dropping-particle":"","parse-names":false,"suffix":""}],"container-title":"Advances in Neural Information Processing Systems","id":"ITEM-1","issued":{"date-parts":[["2016"]]},"page":"3504-3512","title":"RETAIN: An Interpretable Predictive Model for Healthcare using Reverse Time Attention Mechanism","type":"article-journal"},"uris":["http://www.mendeley.com/documents/?uuid=cb914a97-0e7c-3e12-9005-00334f1bf474"]},{"id":"ITEM-2","itemData":{"PMID":"28286600","abstract":"Leveraging large historical data in electronic health record (EHR), we developed Doctor AI, a generic predictive model that covers observed medical conditions and medication uses. Doctor AI is a temporal model using recurrent neural networks (RNN) and was developed and applied to longitudinal time stamped EHR data from 260K patients over 8 years. Encounter records (e.g. diagnosis codes, medication codes or procedure codes) were input to RNN to predict (all) the diagnosis and medication categories for a subsequent visit. Doctor AI assesses the history of patients to make multilabel predictions (one label for each diagnosis or medication category). Based on separate blind test set evaluation, Doctor AI can perform differential diagnosis with up to 79% recall@30, significantly higher than several baselines. Moreover, we demonstrate great generalizability of Doctor AI by adapting the resulting models from one institution to another without losing substantial accuracy.","author":[{"dropping-particle":"","family":"Choi","given":"Edward","non-dropping-particle":"","parse-names":false,"suffix":""},{"dropping-particle":"","family":"Bahadori","given":"Mohammad Taha","non-dropping-particle":"","parse-names":false,"suffix":""},{"dropping-particle":"","family":"Schuetz","given":"Andy","non-dropping-particle":"","parse-names":false,"suffix":""},{"dropping-particle":"","family":"Stewart","given":"Walter F","non-dropping-particle":"","parse-names":false,"suffix":""},{"dropping-particle":"","family":"Sun","given":"Jimeng","non-dropping-particle":"","parse-names":false,"suffix":""}],"container-title":"JMLR workshop and conference proceedings","id":"ITEM-2","issued":{"date-parts":[["2016","8"]]},"page":"301-318","publisher":"NIH Public Access","title":"Doctor AI: Predicting Clinical Events via Recurrent Neural Networks.","type":"article-journal","volume":"56"},"uris":["http://www.mendeley.com/documents/?uuid=8d896cf6-14cd-3878-b366-9162e7bc3cca"]},{"id":"ITEM-3","itemData":{"DOI":"10.1109/JBHI.2017.2767063","ISSN":"2168-2194","author":[{"dropping-particle":"","family":"Shickel","given":"Benjamin","non-dropping-particle":"","parse-names":false,"suffix":""},{"dropping-particle":"","family":"Tighe","given":"Patrick James","non-dropping-particle":"","parse-names":false,"suffix":""},{"dropping-particle":"","family":"Bihorac","given":"Azra","non-dropping-particle":"","parse-names":false,"suffix":""},{"dropping-particle":"","family":"Rashidi","given":"Parisa","non-dropping-particle":"","parse-names":false,"suffix":""}],"container-title":"IEEE Journal of Biomedical and Health Informatics","id":"ITEM-3","issued":{"date-parts":[["2017"]]},"page":"1-1","title":"Deep EHR: A Survey of Recent Advances in Deep Learning Techniques for Electronic Health Record (EHR) Analysis","type":"article-journal"},"uris":["http://www.mendeley.com/documents/?uuid=19a3f7f5-0e3e-383d-9366-a64e3a48501e"]},{"id":"ITEM-4","itemData":{"DOI":"10.1093/bib/bbx044","ISSN":"1467-5463","author":[{"dropping-particle":"","family":"Miotto","given":"Riccardo","non-dropping-particle":"","parse-names":false,"suffix":""},{"dropping-particle":"","family":"Wang","given":"Fei","non-dropping-particle":"","parse-names":false,"suffix":""},{"dropping-particle":"","family":"Wang","given":"Shuang","non-dropping-particle":"","parse-names":false,"suffix":""},{"dropping-particle":"","family":"Jiang","given":"Xiaoqian","non-dropping-particle":"","parse-names":false,"suffix":""},{"dropping-particle":"","family":"Dudley","given":"Joel T.","non-dropping-particle":"","parse-names":false,"suffix":""}],"container-title":"Briefings in Bioinformatics","id":"ITEM-4","issued":{"date-parts":[["2017","5","6"]]},"title":"Deep learning for healthcare: review, opportunities and challenges","type":"article-journal"},"uris":["http://www.mendeley.com/documents/?uuid=fefb45ab-c7e7-3d80-adf6-c9ec2f6fce80"]}],"mendeley":{"formattedCitation":"[3], [5], [9], [10]","plainTextFormattedCitation":"[3], [5], [9], [10]","previouslyFormattedCitation":"(Choi, Bahadori, Kulas, et al., 2016; Choi, Bahadori, Schuetz, et al., 2016; Miotto, Wang, Wang, Jiang, &amp; Dudley, 2017; Shickel, Tighe, Bihorac, &amp; Rashidi, 2017)"},"properties":{"noteIndex":0},"schema":"https://github.com/citation-style-language/schema/raw/master/csl-citation.json"}</w:instrText>
      </w:r>
      <w:r>
        <w:fldChar w:fldCharType="separate"/>
      </w:r>
      <w:r w:rsidR="0000768D" w:rsidRPr="0000768D">
        <w:rPr>
          <w:noProof/>
        </w:rPr>
        <w:t>[3], [5], [9], [10]</w:t>
      </w:r>
      <w:r>
        <w:fldChar w:fldCharType="end"/>
      </w:r>
    </w:p>
    <w:p w:rsidR="00E97FDC" w:rsidRDefault="00E97FDC" w:rsidP="00E97FDC">
      <w:pPr>
        <w:pStyle w:val="BodyText"/>
      </w:pPr>
      <w:r>
        <w:t xml:space="preserve">In order to move this field forward, a rigorous evaluation of various methods is needed. Although there are a few benchmarking studies using clinical data comparing deep RNN models with traditional methods </w:t>
      </w:r>
      <w:r>
        <w:fldChar w:fldCharType="begin" w:fldLock="1"/>
      </w:r>
      <w:r w:rsidR="0000768D">
        <w:instrText>ADDIN CSL_CITATION {"citationItems":[{"id":"ITEM-1","itemData":{"abstract":"Health care is one of the most exciting frontiers in data mining and machine learning. Successful adoption of electronic health records (EHRs) created an explosion in digital clinical data available for analysis, but progress in machine learning for healthcare research has been difficult to measure because of the absence of publicly available benchmark data sets. To address this problem, we propose four clinical prediction benchmarks using data derived from the publicly available Medical Information Mart for Intensive Care (MIMIC-III) database. These tasks cover a range of clinical problems including modeling risk of mortality, forecasting length of stay, detecting physiologic decline, and phenotype classification. We formulate a heterogeneous multitask problem where the goal is to jointly learn multiple clinically relevant prediction tasks based on the same time series data. To address this problem, we propose a novel recurrent neural network (RNN) architecture that leverages the correlations between the various tasks to learn a better predictive model. We validate the proposed neural architecture on this benchmark, and demonstrate that it outperforms strong baselines, including single task RNNs.","author":[{"dropping-particle":"","family":"Harutyunyan","given":"Hrayr","non-dropping-particle":"","parse-names":false,"suffix":""},{"dropping-particle":"","family":"Khachatrian","given":"Hrant","non-dropping-particle":"","parse-names":false,"suffix":""},{"dropping-particle":"","family":"Kale","given":"David C.","non-dropping-particle":"","parse-names":false,"suffix":""},{"dropping-particle":"","family":"Galstyan","given":"Aram","non-dropping-particle":"","parse-names":false,"suffix":""}],"id":"ITEM-1","issued":{"date-parts":[["2017","3","22"]]},"title":"Multitask Learning and Benchmarking with Clinical Time Series Data","type":"article-journal"},"uris":["http://www.mendeley.com/documents/?uuid=4aee2e2f-a2a0-3875-a365-ed1b376b917b"]},{"id":"ITEM-2","itemData":{"DOI":"10.1016/J.JBI.2018.04.007","ISSN":"1532-0464","abstract":"Deep learning models (aka Deep Neural Networks) have revolutionized many fields including computer vision, natural language processing, speech recognition, and is being increasingly used in clinical healthcare applications. However, few works exist which have benchmarked the performance of the deep learning models with respect to the state-of-the-art machine learning models and prognostic scoring systems on publicly available healthcare datasets. In this paper, we present the benchmarking results for several clinical prediction tasks such as mortality prediction, length of stay prediction, and ICD-9 code group prediction using Deep Learning models, ensemble of machine learning models (Super Learner algorithm), SAPS II and SOFA scores. We used the Medical Information Mart for Intensive Care III (MIMIC-III) (v1.4) publicly available dataset, which includes all patients admitted to an ICU at the Beth Israel Deaconess Medical Center from 2001 to 2012, for the benchmarking tasks. Our results show that deep learning models consistently outperform all the other approaches especially when the ‘raw’ clinical time series data is used as input features to the models.","author":[{"dropping-particle":"","family":"Purushotham","given":"Sanjay","non-dropping-particle":"","parse-names":false,"suffix":""},{"dropping-particle":"","family":"Meng","given":"Chuizheng","non-dropping-particle":"","parse-names":false,"suffix":""},{"dropping-particle":"","family":"Che","given":"Zhengping","non-dropping-particle":"","parse-names":false,"suffix":""},{"dropping-particle":"","family":"Liu","given":"Yan","non-dropping-particle":"","parse-names":false,"suffix":""}],"container-title":"Journal of Biomedical Informatics","id":"ITEM-2","issued":{"date-parts":[["2018","7","1"]]},"page":"112-134","publisher":"Academic Press","title":"Benchmarking deep learning models on large healthcare datasets","type":"article-journal","volume":"83"},"uris":["http://www.mendeley.com/documents/?uuid=5469c141-3713-3722-b18e-b358d2d470f2"]},{"id":"ITEM-3","itemData":{"abstract":"Multivariate time series data in practical applications, such as health care, geoscience, and biology, are characterized by a variety of missing values. In time series prediction and other related tasks, it has been noted that missing values and their missing patterns are often correlated with the target labels, a.k.a., informative missingness. There is very limited work on exploiting the missing patterns for effective imputation and improving prediction performance. In this paper, we develop novel deep learning models, namely GRU-D, as one of the early attempts. GRU-D is based on Gated Recurrent Unit (GRU), a state-of-the-art recurrent neural network. It takes two representations of missing patterns, i.e., masking and time interval, and effectively incorporates them into a deep model architecture so that it not only captures the long-term temporal dependencies in time series, but also utilizes the missing patterns to achieve better prediction results. Experiments of time series classification tasks on real-world clinical datasets (MIMIC-III, PhysioNet) and synthetic datasets demonstrate that our models achieve state-of-the-art performance and provides useful insights for better understanding and utilization of missing values in time series analysis.","author":[{"dropping-particle":"","family":"Che","given":"Zhengping","non-dropping-particle":"","parse-names":false,"suffix":""},{"dropping-particle":"","family":"Purushotham","given":"Sanjay","non-dropping-particle":"","parse-names":false,"suffix":""},{"dropping-particle":"","family":"Cho","given":"Kyunghyun","non-dropping-particle":"","parse-names":false,"suffix":""},{"dropping-particle":"","family":"Sontag","given":"David","non-dropping-particle":"","parse-names":false,"suffix":""},{"dropping-particle":"","family":"Liu","given":"Yan","non-dropping-particle":"","parse-names":false,"suffix":""}],"id":"ITEM-3","issued":{"date-parts":[["2016","6","6"]]},"title":"Recurrent Neural Networks for Multivariate Time Series with Missing Values","type":"article-journal"},"uris":["http://www.mendeley.com/documents/?uuid=9e9cccbe-de19-3913-ab06-57783c453baf"]}],"mendeley":{"formattedCitation":"[11]–[13]","plainTextFormattedCitation":"[11]–[13]","previouslyFormattedCitation":"(Che, Purushotham, Cho, Sontag, &amp; Liu, 2016; Harutyunyan, Khachatrian, Kale, &amp; Galstyan, 2017; Purushotham, Meng, Che, &amp; Liu, 2018)"},"properties":{"noteIndex":0},"schema":"https://github.com/citation-style-language/schema/raw/master/csl-citation.json"}</w:instrText>
      </w:r>
      <w:r>
        <w:fldChar w:fldCharType="separate"/>
      </w:r>
      <w:r w:rsidR="0000768D" w:rsidRPr="0000768D">
        <w:rPr>
          <w:noProof/>
        </w:rPr>
        <w:t>[11]–[13]</w:t>
      </w:r>
      <w:r>
        <w:fldChar w:fldCharType="end"/>
      </w:r>
      <w:r>
        <w:t xml:space="preserve">, there is a lack of comprehensive comparison among these methods. In particular, while these methods are often with various architectural innovations, there is a lack of direct systematic benchmarking on the effectiveness of these methodological innovations. These methods are developed and evaluated on different </w:t>
      </w:r>
      <w:r w:rsidRPr="00B37CD0">
        <w:t>datasets</w:t>
      </w:r>
      <w:r>
        <w:t xml:space="preserve">. </w:t>
      </w:r>
      <w:r w:rsidRPr="00B37CD0">
        <w:t>Also</w:t>
      </w:r>
      <w:r>
        <w:t>, the choices of their hyper-parameters are not necessarily consistent. Moreover, there are a number of recent architectural innovations from NLP but have not been evaluated in the context of EHR-based prediction. The field of NLP has obviously leading in terms of methodological development and several extensive evaluations of various architectural variations has been conducted [cite]. We hope to bring the same rigor into the field of EHR-based prediction.</w:t>
      </w:r>
    </w:p>
    <w:p w:rsidR="00E97FDC" w:rsidRDefault="00E97FDC" w:rsidP="00E97FDC">
      <w:pPr>
        <w:pStyle w:val="BodyText"/>
      </w:pPr>
      <w:r>
        <w:t xml:space="preserve">Here, we aim to offer a comprehensive evaluation of RNN-based methods in modeling EHR data. We evaluate 2 non-RNN models and 9 major types of RNN architectures. We engaged </w:t>
      </w:r>
      <w:r w:rsidRPr="009E1CFC">
        <w:t xml:space="preserve">a thorough </w:t>
      </w:r>
      <w:r w:rsidR="004F5DED">
        <w:t>hyper-</w:t>
      </w:r>
      <w:r w:rsidR="004F5DED" w:rsidRPr="009E1CFC">
        <w:t>parameter</w:t>
      </w:r>
      <w:r w:rsidRPr="009E1CFC">
        <w:t xml:space="preserve"> tuning procedure using Gaussian </w:t>
      </w:r>
      <w:r w:rsidRPr="00B37CD0">
        <w:t>Process</w:t>
      </w:r>
      <w:r>
        <w:t>-</w:t>
      </w:r>
      <w:r w:rsidRPr="00B37CD0">
        <w:t>based</w:t>
      </w:r>
      <w:r w:rsidRPr="009E1CFC">
        <w:t xml:space="preserve"> Bayesian optimization.</w:t>
      </w:r>
      <w:r>
        <w:t xml:space="preserve"> All models were evaluated against two prediction problems: the </w:t>
      </w:r>
      <w:r>
        <w:lastRenderedPageBreak/>
        <w:t xml:space="preserve">first is the prediction of the patient risk to develop Heart failure and the second is the risk of early readmission for patients with any disease of those publicly reported by CMS. We extracted our cohorts from the Cerner Health Fact database for the evaluation of RNN-based methods. Our Heart failure cohort data set includes </w:t>
      </w:r>
      <w:r w:rsidRPr="009E1CFC">
        <w:t>152,790</w:t>
      </w:r>
      <w:r>
        <w:t xml:space="preserve"> cases and </w:t>
      </w:r>
      <w:r w:rsidRPr="009E1CFC">
        <w:t xml:space="preserve">1,152,517 </w:t>
      </w:r>
      <w:r>
        <w:t xml:space="preserve">controls, </w:t>
      </w:r>
      <w:r w:rsidRPr="009E1CFC">
        <w:t xml:space="preserve">with over </w:t>
      </w:r>
      <w:r>
        <w:t>10 million</w:t>
      </w:r>
      <w:r w:rsidRPr="009E1CFC">
        <w:t xml:space="preserve"> encounters and </w:t>
      </w:r>
      <w:r>
        <w:t>160 million</w:t>
      </w:r>
      <w:r w:rsidRPr="009E1CFC">
        <w:t xml:space="preserve"> events</w:t>
      </w:r>
      <w:r>
        <w:t xml:space="preserve">, and for one hospital </w:t>
      </w:r>
      <w:r w:rsidRPr="009E1CFC">
        <w:t>5,010 cases + 37,719 controls</w:t>
      </w:r>
      <w:r>
        <w:t xml:space="preserve">. we used </w:t>
      </w:r>
      <w:r w:rsidRPr="00B37CD0">
        <w:t>one</w:t>
      </w:r>
      <w:r>
        <w:t xml:space="preserve"> hospital data for the hyper-parameters optimization purposes. The readmission cohort is of </w:t>
      </w:r>
      <w:r w:rsidRPr="009E1CFC">
        <w:t>161,748</w:t>
      </w:r>
      <w:r>
        <w:t xml:space="preserve"> cases and </w:t>
      </w:r>
      <w:r w:rsidRPr="009E1CFC">
        <w:t>257,991</w:t>
      </w:r>
      <w:r>
        <w:t xml:space="preserve"> controls.</w:t>
      </w:r>
    </w:p>
    <w:p w:rsidR="00E97FDC" w:rsidRDefault="00E97FDC" w:rsidP="00D35DBF">
      <w:pPr>
        <w:pStyle w:val="BodyText"/>
      </w:pPr>
    </w:p>
    <w:p w:rsidR="009303D9" w:rsidRPr="006B6B66" w:rsidRDefault="00FE2F53" w:rsidP="006B6B66">
      <w:pPr>
        <w:pStyle w:val="Heading1"/>
      </w:pPr>
      <w:r>
        <w:t>Methods</w:t>
      </w:r>
    </w:p>
    <w:p w:rsidR="001807B4" w:rsidRDefault="001807B4" w:rsidP="00ED0149">
      <w:pPr>
        <w:pStyle w:val="Heading2"/>
      </w:pPr>
      <w:r>
        <w:t>Problem Formulation</w:t>
      </w:r>
    </w:p>
    <w:p w:rsidR="009359B9" w:rsidRDefault="009359B9" w:rsidP="009359B9">
      <w:pPr>
        <w:pStyle w:val="Heading3"/>
      </w:pPr>
      <w:r>
        <w:t>Heart Failure Prediction</w:t>
      </w:r>
      <w:r>
        <w:t xml:space="preserve"> </w:t>
      </w:r>
    </w:p>
    <w:p w:rsidR="0000768D" w:rsidRDefault="0000768D" w:rsidP="0000768D">
      <w:pPr>
        <w:pStyle w:val="BodyText"/>
      </w:pPr>
      <w:r>
        <w:t xml:space="preserve">Cardiovascular diseases are the leading causes of </w:t>
      </w:r>
      <w:r w:rsidRPr="0000768D">
        <w:t>mortality</w:t>
      </w:r>
      <w:r>
        <w:t xml:space="preserve"> worldwide </w:t>
      </w:r>
      <w:bookmarkStart w:id="0" w:name="bb0005"/>
      <w:r>
        <w:fldChar w:fldCharType="begin"/>
      </w:r>
      <w:r>
        <w:instrText xml:space="preserve"> HYPERLINK "https://www.sciencedirect.com/science/article/pii/S1532046418301175" \l "b0005" </w:instrText>
      </w:r>
      <w:r>
        <w:fldChar w:fldCharType="separate"/>
      </w:r>
      <w:r>
        <w:rPr>
          <w:rStyle w:val="Hyperlink"/>
        </w:rPr>
        <w:t>[1]</w:t>
      </w:r>
      <w:r>
        <w:fldChar w:fldCharType="end"/>
      </w:r>
      <w:bookmarkEnd w:id="0"/>
      <w:r>
        <w:t xml:space="preserve">. Among them, </w:t>
      </w:r>
      <w:r w:rsidRPr="0000768D">
        <w:t>heart</w:t>
      </w:r>
      <w:r>
        <w:t xml:space="preserve"> failure is a severe healthcare burden: per Centers of </w:t>
      </w:r>
      <w:r w:rsidRPr="0000768D">
        <w:t>Disease Control</w:t>
      </w:r>
      <w:r>
        <w:t xml:space="preserve"> and Prevention (CDC) and the American heart association (AHA), there were more than 5 million adult </w:t>
      </w:r>
      <w:r w:rsidRPr="0000768D">
        <w:t>heart failure</w:t>
      </w:r>
      <w:r>
        <w:t xml:space="preserve"> patients in the US in 2016, and that </w:t>
      </w:r>
      <w:r w:rsidRPr="0000768D">
        <w:t>costs</w:t>
      </w:r>
      <w:r>
        <w:t xml:space="preserve"> the nation more than $30 billion annually </w:t>
      </w:r>
      <w:bookmarkStart w:id="1" w:name="bb0010"/>
      <w:r>
        <w:fldChar w:fldCharType="begin"/>
      </w:r>
      <w:r>
        <w:instrText xml:space="preserve"> HYPERLINK "https://www.sciencedirect.com/science/article/pii/S1532046418301175" \l "b0010" </w:instrText>
      </w:r>
      <w:r>
        <w:fldChar w:fldCharType="separate"/>
      </w:r>
      <w:r>
        <w:rPr>
          <w:rStyle w:val="Hyperlink"/>
        </w:rPr>
        <w:t>[2]</w:t>
      </w:r>
      <w:r>
        <w:fldChar w:fldCharType="end"/>
      </w:r>
      <w:bookmarkEnd w:id="1"/>
      <w:r>
        <w:t xml:space="preserve">. Estimating the risk for disease </w:t>
      </w:r>
      <w:r w:rsidRPr="0000768D">
        <w:t>development</w:t>
      </w:r>
      <w:r>
        <w:t xml:space="preserve"> can help early </w:t>
      </w:r>
      <w:r w:rsidRPr="0000768D">
        <w:t>disease management</w:t>
      </w:r>
      <w:r>
        <w:t xml:space="preserve"> and thus improving the </w:t>
      </w:r>
      <w:r w:rsidRPr="0000768D">
        <w:t>health outcomes</w:t>
      </w:r>
      <w:r>
        <w:t xml:space="preserve">. Developing clinical event </w:t>
      </w:r>
      <w:r w:rsidRPr="0000768D">
        <w:t>prediction models</w:t>
      </w:r>
      <w:r>
        <w:t xml:space="preserve"> improves the quality of care especially when it is translated into real-time tools available at the bedside.</w:t>
      </w:r>
    </w:p>
    <w:p w:rsidR="0000768D" w:rsidRPr="0000768D" w:rsidRDefault="0000768D" w:rsidP="0000768D">
      <w:pPr>
        <w:pStyle w:val="BodyText"/>
        <w:rPr>
          <w:lang w:val="en-US"/>
        </w:rPr>
      </w:pPr>
      <w:r>
        <w:rPr>
          <w:lang w:val="en-US"/>
        </w:rPr>
        <w:t>[need to add problem formulation]</w:t>
      </w:r>
    </w:p>
    <w:p w:rsidR="009359B9" w:rsidRPr="009359B9" w:rsidRDefault="009359B9" w:rsidP="009359B9"/>
    <w:p w:rsidR="009359B9" w:rsidRDefault="009359B9" w:rsidP="009359B9">
      <w:pPr>
        <w:pStyle w:val="Heading3"/>
      </w:pPr>
      <w:r>
        <w:t>Risk of Early Readmission Prediction</w:t>
      </w:r>
    </w:p>
    <w:p w:rsidR="009359B9" w:rsidRPr="009359B9" w:rsidRDefault="009359B9" w:rsidP="009359B9"/>
    <w:p w:rsidR="009359B9" w:rsidRDefault="009359B9" w:rsidP="009359B9">
      <w:pPr>
        <w:pStyle w:val="BodyText"/>
      </w:pPr>
      <w:r w:rsidRPr="006734E6">
        <w:t xml:space="preserve">Nearly </w:t>
      </w:r>
      <w:r>
        <w:t>15</w:t>
      </w:r>
      <w:r w:rsidRPr="006734E6">
        <w:t xml:space="preserve"> percent of hospital</w:t>
      </w:r>
      <w:r>
        <w:t>ized</w:t>
      </w:r>
      <w:r w:rsidRPr="006734E6">
        <w:t xml:space="preserve"> patients are readmitted within 30 days of discharge, </w:t>
      </w:r>
      <w:r>
        <w:t>the cost of unplanned readmissions is 15 to 20 billion dollars annually</w:t>
      </w:r>
      <w:r w:rsidRPr="006734E6">
        <w:t xml:space="preserve">. In an effort to reduce the readmission rate and such associated costs. Center of Medicaid and Medicare Systems (CMS) began to publicly report 30-day early readmission for acute myocardial infarction (AMI), Heart Failure (HF), and pneumonia (PN) in 2009 and in 2014 they added </w:t>
      </w:r>
      <w:r>
        <w:t>Chronic obstructive pulmonary disease (</w:t>
      </w:r>
      <w:r w:rsidRPr="006734E6">
        <w:t>COPD</w:t>
      </w:r>
      <w:r>
        <w:t>)</w:t>
      </w:r>
      <w:r w:rsidRPr="006734E6">
        <w:t xml:space="preserve"> and ischemic stroke</w:t>
      </w:r>
      <w:r>
        <w:t xml:space="preserve"> (IS)</w:t>
      </w:r>
      <w:r w:rsidRPr="006734E6">
        <w:t xml:space="preserve"> on </w:t>
      </w:r>
      <w:r>
        <w:t xml:space="preserve">the </w:t>
      </w:r>
      <w:r w:rsidRPr="006734E6">
        <w:t>CMS Hospital Compare website.</w:t>
      </w:r>
      <w:r>
        <w:t xml:space="preserve"> Additionally, the Secretary of the Department of Health and Human Services (HHS) as per the Affordable Care Act established a </w:t>
      </w:r>
      <w:r w:rsidRPr="00AA0E92">
        <w:t>Hospital Readmissions Reduction Program</w:t>
      </w:r>
      <w:r>
        <w:t xml:space="preserve"> (HRRP) to reduce payments to hospitals for excess readmissions starting the </w:t>
      </w:r>
      <w:r w:rsidRPr="001607A0">
        <w:t>Fiscal</w:t>
      </w:r>
      <w:r>
        <w:t xml:space="preserve"> Year 2013. Therefore, Hospitals started to focus their efforts to reduce the early readmissions rate not only for the financial penalty but also for their effectiveness reputability. Identification of patients with high risk for early readmission at the time of discharge can help taking necessary measures to reduce such risk. </w:t>
      </w:r>
    </w:p>
    <w:p w:rsidR="009359B9" w:rsidRPr="009359B9" w:rsidRDefault="009359B9" w:rsidP="009359B9">
      <w:pPr>
        <w:jc w:val="both"/>
      </w:pPr>
    </w:p>
    <w:p w:rsidR="001807B4" w:rsidRPr="001807B4" w:rsidRDefault="001807B4" w:rsidP="001807B4">
      <w:pPr>
        <w:pStyle w:val="BodyText"/>
        <w:rPr>
          <w:lang w:val="en-US"/>
        </w:rPr>
      </w:pPr>
      <w:r>
        <w:t>In this study we will predict the patient probability to readmit earlier than thirty days after their first inpatient admission with HF,</w:t>
      </w:r>
      <w:r w:rsidR="00D52517">
        <w:t xml:space="preserve"> </w:t>
      </w:r>
      <w:r>
        <w:t>AMI,</w:t>
      </w:r>
      <w:r w:rsidR="00D52517">
        <w:t xml:space="preserve"> </w:t>
      </w:r>
      <w:r>
        <w:t>PN, IS, or COPD, known as the index encounter.</w:t>
      </w:r>
      <w:r w:rsidRPr="001807B4">
        <w:t xml:space="preserve"> </w:t>
      </w:r>
      <w:r>
        <w:t xml:space="preserve">Fig 1. is an illustrative figure for the problem definition.  Our main outcome is a binary variable that reflects if Δ T &lt; 30 or not. We will train our models with all patients historical data available </w:t>
      </w:r>
      <w:r w:rsidR="00D52517">
        <w:t>unti</w:t>
      </w:r>
      <w:r>
        <w:t xml:space="preserve">l the discharge of the index encounter. </w:t>
      </w:r>
      <w:r>
        <w:rPr>
          <w:lang w:val="en-US"/>
        </w:rPr>
        <w:t xml:space="preserve">Patient data includes clinical information including diagnosis, medication, procedures and laboratory </w:t>
      </w:r>
      <w:r>
        <w:rPr>
          <w:lang w:val="en-US"/>
        </w:rPr>
        <w:lastRenderedPageBreak/>
        <w:t xml:space="preserve">results, as well as patient demographics, hospital geographic information, and encounter level administrative information. Supplemental Table 1. includes a list of main covariates categories and total counts. We had in total </w:t>
      </w:r>
      <w:r w:rsidR="004F5DED">
        <w:rPr>
          <w:lang w:val="en-US"/>
        </w:rPr>
        <w:t>over 15000 variables</w:t>
      </w:r>
      <w:r w:rsidRPr="001807B4">
        <w:rPr>
          <w:lang w:val="en-US"/>
        </w:rPr>
        <w:t xml:space="preserve"> </w:t>
      </w:r>
      <w:r>
        <w:rPr>
          <w:lang w:val="en-US"/>
        </w:rPr>
        <w:t>mainly clinical.</w:t>
      </w:r>
    </w:p>
    <w:p w:rsidR="001807B4" w:rsidRDefault="001807B4" w:rsidP="001807B4">
      <w:pPr>
        <w:keepNext/>
      </w:pPr>
      <w:r>
        <w:rPr>
          <w:noProof/>
        </w:rPr>
        <w:drawing>
          <wp:inline distT="0" distB="0" distL="0" distR="0" wp14:anchorId="4D562E70" wp14:editId="7E406B08">
            <wp:extent cx="3223260" cy="1165860"/>
            <wp:effectExtent l="0" t="0" r="0" b="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1165860"/>
                    </a:xfrm>
                    <a:prstGeom prst="rect">
                      <a:avLst/>
                    </a:prstGeom>
                    <a:noFill/>
                  </pic:spPr>
                </pic:pic>
              </a:graphicData>
            </a:graphic>
          </wp:inline>
        </w:drawing>
      </w:r>
    </w:p>
    <w:p w:rsidR="001807B4" w:rsidRDefault="001807B4" w:rsidP="006B2C80">
      <w:pPr>
        <w:pStyle w:val="figurecaption"/>
      </w:pPr>
      <w:r>
        <w:t>Problem defin</w:t>
      </w:r>
      <w:r w:rsidR="00D52517">
        <w:t>i</w:t>
      </w:r>
      <w:r>
        <w:t>tion</w:t>
      </w:r>
    </w:p>
    <w:p w:rsidR="0012344F" w:rsidRDefault="0012344F" w:rsidP="00ED0149">
      <w:pPr>
        <w:pStyle w:val="Heading2"/>
      </w:pPr>
      <w:r>
        <w:t>Data Extraction</w:t>
      </w:r>
    </w:p>
    <w:p w:rsidR="0012344F" w:rsidRPr="005B520E" w:rsidRDefault="0012344F" w:rsidP="0012344F">
      <w:pPr>
        <w:pStyle w:val="Heading3"/>
      </w:pPr>
      <w:r>
        <w:t>Dataset</w:t>
      </w:r>
    </w:p>
    <w:p w:rsidR="0012344F" w:rsidRPr="0012344F" w:rsidRDefault="0012344F" w:rsidP="0012344F">
      <w:pPr>
        <w:pStyle w:val="BodyText"/>
        <w:rPr>
          <w:lang w:val="en-US"/>
        </w:rPr>
      </w:pPr>
      <w:r>
        <w:t xml:space="preserve">Cerner HealthFacts® database is derived from over 600 Cerner implementation in hospitals and clinics throughout the United States. It contains timestamped clinical information for over 50 million unique patients with more than 10 years of records. In total there are more than 110 million patient visits. These clinical data are mapped to the most common standards, for example, diagnoses and procedures are mapped to the International Classification of Diseases (ICD) codes, medications information include the national drug codes (NDCs), and laboratory tests are linked to their </w:t>
      </w:r>
      <w:r w:rsidRPr="00B37CD0">
        <w:rPr>
          <w:noProof/>
        </w:rPr>
        <w:t>LOINIC</w:t>
      </w:r>
      <w:r>
        <w:t xml:space="preserve"> codes. The data are de-identified and comply with the patient confidentiality requirements of the Health Insurance Portability and Accountability Act (HIPAA</w:t>
      </w:r>
      <w:r w:rsidRPr="00B37CD0">
        <w:rPr>
          <w:noProof/>
        </w:rPr>
        <w:t>).</w:t>
      </w:r>
    </w:p>
    <w:p w:rsidR="009303D9" w:rsidRDefault="00FE2F53" w:rsidP="0012344F">
      <w:pPr>
        <w:pStyle w:val="Heading3"/>
      </w:pPr>
      <w:r>
        <w:t>Cohort Definition</w:t>
      </w:r>
    </w:p>
    <w:p w:rsidR="009359B9" w:rsidRDefault="0000768D" w:rsidP="0000768D">
      <w:pPr>
        <w:pStyle w:val="Heading4"/>
      </w:pPr>
      <w:r>
        <w:t xml:space="preserve"> Heart Failure Cohort</w:t>
      </w:r>
    </w:p>
    <w:p w:rsidR="0000768D" w:rsidRDefault="0000768D" w:rsidP="0000768D">
      <w:pPr>
        <w:pStyle w:val="BodyText"/>
      </w:pPr>
      <w:r>
        <w:t xml:space="preserve">We followed the </w:t>
      </w:r>
      <w:hyperlink r:id="rId12" w:tooltip="Learn more about Case definition" w:history="1">
        <w:r w:rsidRPr="00360021">
          <w:t>case definition</w:t>
        </w:r>
      </w:hyperlink>
      <w:r>
        <w:t xml:space="preserve"> and </w:t>
      </w:r>
      <w:hyperlink r:id="rId13" w:tooltip="Learn more about Case-control study" w:history="1">
        <w:r w:rsidRPr="00360021">
          <w:t>case-control</w:t>
        </w:r>
      </w:hyperlink>
      <w:r>
        <w:t xml:space="preserve"> matching procedure described by Choi et al for heart failure prediction study </w:t>
      </w:r>
      <w:r>
        <w:fldChar w:fldCharType="begin" w:fldLock="1"/>
      </w:r>
      <w:r>
        <w:instrText>ADDIN CSL_CITATION {"citationItems":[{"id":"ITEM-1","itemData":{"ISSN":"10495258","abstract":"Accuracy and interpretability are two dominant features of successful predictive models. Typically, a choice must be made in favor of complex black box models such as recurrent neural networks (RNN) for accuracy versus less accurate but more interpretable traditional models such as logistic regression. This tradeoff poses challenges in medicine where both accuracy and interpretability are important. We addressed this challenge by developing the REverse Time AttentIoN model (RETAIN) for application to Electronic Health Records (EHR) data. RETAIN achieves high accuracy while remaining clinically interpretable and is based on a two-level neural attention model that detects influential past visits and significant clinical variables within those visits (e.g. key diagnoses). RETAIN mimics physician practice by attending the EHR data in a reverse time order so that recent clinical visits are likely to receive higher attention. RETAIN was tested on a large health system EHR dataset with 14 million visits completed by 263K patients over an 8 year period and demonstrated predictive accuracy and computational scalability comparable to state-of-the-art methods such as RNN, and ease of interpretability comparable to traditional models.","author":[{"dropping-particle":"","family":"Choi","given":"Edward","non-dropping-particle":"","parse-names":false,"suffix":""},{"dropping-particle":"","family":"Bahadori","given":"Mohammad Taha","non-dropping-particle":"","parse-names":false,"suffix":""},{"dropping-particle":"","family":"Kulas","given":"Joshua A.","non-dropping-particle":"","parse-names":false,"suffix":""},{"dropping-particle":"","family":"Schuetz","given":"Andy","non-dropping-particle":"","parse-names":false,"suffix":""},{"dropping-particle":"","family":"Stewart","given":"Walter F.","non-dropping-particle":"","parse-names":false,"suffix":""},{"dropping-particle":"","family":"Sun","given":"Jimeng","non-dropping-particle":"","parse-names":false,"suffix":""}],"container-title":"Advances in Neural Information Processing Systems","id":"ITEM-1","issued":{"date-parts":[["2016"]]},"page":"3504-3512","title":"RETAIN: An Interpretable Predictive Model for Healthcare using Reverse Time Attention Mechanism","type":"article-journal"},"uris":["http://www.mendeley.com/documents/?uuid=cb914a97-0e7c-3e12-9005-00334f1bf474"]}],"mendeley":{"formattedCitation":"[3]","plainTextFormattedCitation":"[3]","previouslyFormattedCitation":"(Choi, Bahadori, Kulas, et al., 2016)"},"properties":{"noteIndex":0},"schema":"https://github.com/citation-style-language/schema/raw/master/csl-citation.json"}</w:instrText>
      </w:r>
      <w:r>
        <w:fldChar w:fldCharType="separate"/>
      </w:r>
      <w:r w:rsidRPr="0000768D">
        <w:rPr>
          <w:noProof/>
        </w:rPr>
        <w:t>[3]</w:t>
      </w:r>
      <w:r>
        <w:fldChar w:fldCharType="end"/>
      </w:r>
      <w:r>
        <w:t xml:space="preserve"> to construct our cohort dataset from Cerner Health Facts® EMR data. This is the same cohort we used for our previous work </w:t>
      </w:r>
      <w:r>
        <w:fldChar w:fldCharType="begin" w:fldLock="1"/>
      </w:r>
      <w:r>
        <w:instrText>ADDIN CSL_CITATION {"citationItems":[{"id":"ITEM-1","itemData":{"DOI":"10.1016/j.jbi.2018.06.011","ISSN":"15320464","abstract":"© 2018 Elsevier Inc. Recently, recurrent neural networks (RNNs) have been applied in predicting disease onset risks with Electronic Health Record (EHR) data. While these models demonstrated promising results on relatively small data sets, the generalizability and transferability of those models and its applicability to different patient populations across hospitals have not been evaluated. In this study, we evaluated an RNN model, RETAIN, over Cerner Health Facts® EMR data, for heart failure onset risk prediction. Our data set included over 150,000 heart failure patients and over 1,000,000 controls from nearly 400 hospitals. Convincingly, RETAIN achieved an AUC of 82% in comparison to an AUC of 79% for logistic regression, demonstrating the power of more expressive deep learning models for EHR predictive modeling. The prediction performance fluctuated across different patient groups and varied from hospital to hospital. Also, we trained RETAIN models on individual hospitals and found that the model can be applied to other hospitals with only about 3.6% of reduction of AUC. Our results demonstrated the capability of RNN for predictive modeling with large and heterogeneous EHR data, and pave the road for future improvements.","author":[{"dropping-particle":"","family":"Rasmy","given":"L.","non-dropping-particle":"","parse-names":false,"suffix":""},{"dropping-particle":"","family":"Zheng","given":"W.J.","non-dropping-particle":"","parse-names":false,"suffix":""},{"dropping-particle":"","family":"Xu","given":"H.","non-dropping-particle":"","parse-names":false,"suffix":""},{"dropping-particle":"","family":"Zhi","given":"D.","non-dropping-particle":"","parse-names":false,"suffix":""},{"dropping-particle":"","family":"Wu","given":"Y.","non-dropping-particle":"","parse-names":false,"suffix":""},{"dropping-particle":"","family":"Wang","given":"N.","non-dropping-particle":"","parse-names":false,"suffix":""},{"dropping-particle":"","family":"Wu","given":"H.","non-dropping-particle":"","parse-names":false,"suffix":""},{"dropping-particle":"","family":"Geng","given":"X.","non-dropping-particle":"","parse-names":false,"suffix":""},{"dropping-particle":"","family":"Wang","given":"F.","non-dropping-particle":"","parse-names":false,"suffix":""}],"container-title":"Journal of Biomedical Informatics","id":"ITEM-1","issued":{"date-parts":[["2018"]]},"title":"A study of generalizability of recurrent neural network-based predictive models for heart failure onset risk using a large and heterogeneous EHR data set","type":"article-journal","volume":"84"},"uris":["http://www.mendeley.com/documents/?uuid=c2f8aab6-6f11-3aa6-a15f-c6065c9fcb07"]}],"mendeley":{"formattedCitation":"[14]","plainTextFormattedCitation":"[14]","previouslyFormattedCitation":"(Rasmy et al., 2018)"},"properties":{"noteIndex":0},"schema":"https://github.com/citation-style-language/schema/raw/master/csl-citation.json"}</w:instrText>
      </w:r>
      <w:r>
        <w:fldChar w:fldCharType="separate"/>
      </w:r>
      <w:r w:rsidRPr="0000768D">
        <w:rPr>
          <w:noProof/>
        </w:rPr>
        <w:t>[14]</w:t>
      </w:r>
      <w:r>
        <w:fldChar w:fldCharType="end"/>
      </w:r>
      <w:r>
        <w:t xml:space="preserve">.  Cases were defined as patients who meet the following two criteria: (1) At least three heart failure related encounters had to occur within 12 months; (2) ≥50 years old at the time of the first HF diagnose. The date of the first diagnosis is designated as the index date of the patient. For each case, up to 10 controls were matched by a </w:t>
      </w:r>
      <w:r w:rsidRPr="00B37CD0">
        <w:t>primary</w:t>
      </w:r>
      <w:r>
        <w:t xml:space="preserve"> care hospital, sex, and age (five-year interval). Further, to match the time span of records in the Cerner Health Facts®, controls are required to have their first visit within one year of the first office visit of the matching case and have at least one visit a month before or any time after the diagnosis date of the matching </w:t>
      </w:r>
      <w:r w:rsidRPr="00B37CD0">
        <w:t>case</w:t>
      </w:r>
      <w:hyperlink r:id="rId14" w:anchor="b0070" w:history="1"/>
      <w:r w:rsidRPr="00B37CD0">
        <w:t>.</w:t>
      </w:r>
    </w:p>
    <w:p w:rsidR="0000768D" w:rsidRDefault="0000768D" w:rsidP="0000768D">
      <w:pPr>
        <w:pStyle w:val="BodyText"/>
      </w:pPr>
      <w:r>
        <w:t>We further cleaned the extracted data to exclude all cases that showed any prior history of heart failure, as well as controls with any heart failure incidence before or after the index date with 180 days. In addition, we ensured that all the cases we used have at least one matched control and we cleaned up any redundant records. As a result, we obtained 152,790 cases and 1,152,517 controls.</w:t>
      </w:r>
    </w:p>
    <w:p w:rsidR="0000768D" w:rsidRPr="0000768D" w:rsidRDefault="0000768D" w:rsidP="0000768D"/>
    <w:p w:rsidR="0000768D" w:rsidRDefault="0000768D" w:rsidP="0000768D">
      <w:pPr>
        <w:pStyle w:val="Heading4"/>
      </w:pPr>
      <w:r>
        <w:t>Readmission</w:t>
      </w:r>
      <w:r>
        <w:t xml:space="preserve"> Cohort</w:t>
      </w:r>
    </w:p>
    <w:p w:rsidR="009303D9" w:rsidRPr="007A25CB" w:rsidRDefault="0000768D" w:rsidP="0000768D">
      <w:pPr>
        <w:pStyle w:val="BodyText"/>
        <w:ind w:firstLine="0pt"/>
        <w:rPr>
          <w:lang w:val="en-US"/>
        </w:rPr>
      </w:pPr>
      <w:r>
        <w:rPr>
          <w:spacing w:val="0"/>
          <w:lang w:val="en-US" w:eastAsia="en-US"/>
        </w:rPr>
        <w:tab/>
      </w:r>
      <w:r>
        <w:rPr>
          <w:spacing w:val="0"/>
          <w:lang w:val="en-US" w:eastAsia="en-US"/>
        </w:rPr>
        <w:tab/>
        <w:t>As previously described under the problem formulation,</w:t>
      </w:r>
      <w:r>
        <w:rPr>
          <w:lang w:val="en-US"/>
        </w:rPr>
        <w:t xml:space="preserve"> We</w:t>
      </w:r>
      <w:r w:rsidR="0012344F">
        <w:t xml:space="preserve"> consider the first inpatient encounter with any of the above</w:t>
      </w:r>
      <w:r w:rsidR="00D52517">
        <w:t>-</w:t>
      </w:r>
      <w:r w:rsidR="0012344F">
        <w:t>mentioned disease</w:t>
      </w:r>
      <w:r w:rsidR="00D52517">
        <w:t>s</w:t>
      </w:r>
      <w:r w:rsidR="0012344F">
        <w:t xml:space="preserve"> as the index encounter. </w:t>
      </w:r>
      <w:r w:rsidR="0012344F">
        <w:lastRenderedPageBreak/>
        <w:t xml:space="preserve">We followed the CMS definition of early in-hospital readmission within 30 days as per </w:t>
      </w:r>
      <w:r w:rsidR="0012344F">
        <w:rPr>
          <w:lang w:val="en-US"/>
        </w:rPr>
        <w:t xml:space="preserve">CMS </w:t>
      </w:r>
      <w:r w:rsidR="0012344F" w:rsidRPr="0012344F">
        <w:t>guidelines</w:t>
      </w:r>
      <w:r w:rsidR="0012344F">
        <w:rPr>
          <w:lang w:val="en-US"/>
        </w:rPr>
        <w:t xml:space="preserve"> </w:t>
      </w:r>
      <w:r w:rsidR="0012344F">
        <w:fldChar w:fldCharType="begin" w:fldLock="1"/>
      </w:r>
      <w:r>
        <w:instrText>ADDIN CSL_CITATION {"citationItems":[{"id":"ITEM-1","itemData":{"URL":"http://www.qualitynet.org/dcs/ContentServer?c=Page&amp;pagename=QnetPublic%2FPage%2FQnetTier2&amp;cid=1219069855273","accessed":{"date-parts":[["2018","9","27"]]},"id":"ITEM-1","issued":{"date-parts":[["0"]]},"title":"QualityNet - Readmission Measures","type":"webpage"},"uris":["http://www.mendeley.com/documents/?uuid=285497e7-2fa1-3707-83e4-c5b23420b692"]}],"mendeley":{"formattedCitation":"[15]","plainTextFormattedCitation":"[15]","previouslyFormattedCitation":"(“QualityNet - Readmission Measures,” n.d.)"},"properties":{"noteIndex":0},"schema":"https://github.com/citation-style-language/schema/raw/master/csl-citation.json"}</w:instrText>
      </w:r>
      <w:r w:rsidR="0012344F">
        <w:fldChar w:fldCharType="separate"/>
      </w:r>
      <w:r w:rsidRPr="0000768D">
        <w:rPr>
          <w:noProof/>
        </w:rPr>
        <w:t>[15]</w:t>
      </w:r>
      <w:r w:rsidR="0012344F">
        <w:fldChar w:fldCharType="end"/>
      </w:r>
      <w:r w:rsidR="0012344F">
        <w:t>. We excluded any planned readmissions based on the encounter admission source or the index encounter discharge disposition, as well as recurring or transfer encounters. We define our cases as patients who readmitted within 30 days of their previous hospitalization and we define our controls as patients who get readmitted after 30 days. We also restricted our cohort to patients who had at least one encounter before their index encounter regardless</w:t>
      </w:r>
      <w:r w:rsidR="00D52517">
        <w:t xml:space="preserve"> of</w:t>
      </w:r>
      <w:r w:rsidR="0012344F">
        <w:t xml:space="preserve"> the encounter type.</w:t>
      </w:r>
      <w:r w:rsidR="0012344F" w:rsidRPr="007A25CB">
        <w:rPr>
          <w:lang w:val="en-US"/>
        </w:rPr>
        <w:t xml:space="preserve"> </w:t>
      </w:r>
      <w:r w:rsidR="00AC0EBA">
        <w:rPr>
          <w:lang w:val="en-US"/>
        </w:rPr>
        <w:t>Supplementary Table II includes the logic used to define our cohort from the Cerner health facts® database using SQL queries.</w:t>
      </w:r>
    </w:p>
    <w:p w:rsidR="0012344F" w:rsidRDefault="00FE2F53" w:rsidP="0012344F">
      <w:pPr>
        <w:pStyle w:val="Heading2"/>
      </w:pPr>
      <w:r>
        <w:t>Baseline Models</w:t>
      </w:r>
    </w:p>
    <w:p w:rsidR="0012344F" w:rsidRPr="0012344F" w:rsidRDefault="0012344F" w:rsidP="0012344F">
      <w:pPr>
        <w:pStyle w:val="Heading3"/>
      </w:pPr>
      <w:r>
        <w:t xml:space="preserve">Logistic Regression </w:t>
      </w:r>
    </w:p>
    <w:p w:rsidR="0012344F" w:rsidRDefault="0012344F" w:rsidP="0012344F">
      <w:pPr>
        <w:pStyle w:val="BodyText"/>
        <w:ind w:firstLine="0pt"/>
      </w:pPr>
      <w:r>
        <w:rPr>
          <w:spacing w:val="0"/>
          <w:lang w:val="en-US" w:eastAsia="en-US"/>
        </w:rPr>
        <w:tab/>
      </w:r>
      <w:r>
        <w:t>Logistic regression is the state-of-the</w:t>
      </w:r>
      <w:r w:rsidR="00D52517">
        <w:t>-</w:t>
      </w:r>
      <w:r>
        <w:t xml:space="preserve">art model </w:t>
      </w:r>
      <w:r>
        <w:rPr>
          <w:lang w:val="en-US"/>
        </w:rPr>
        <w:t>currently in use at clinical practice</w:t>
      </w:r>
      <w:r w:rsidR="001807B4">
        <w:rPr>
          <w:lang w:val="en-US"/>
        </w:rPr>
        <w:t xml:space="preserve">. </w:t>
      </w:r>
      <w:r>
        <w:t xml:space="preserve">For </w:t>
      </w:r>
      <w:r w:rsidR="00D52517">
        <w:t xml:space="preserve">a </w:t>
      </w:r>
      <w:r>
        <w:t xml:space="preserve">baseline comparison, we had two versions of logistic regression. The first uses the </w:t>
      </w:r>
      <w:r w:rsidRPr="00B37CD0">
        <w:t>sci</w:t>
      </w:r>
      <w:r>
        <w:t xml:space="preserve">-kit </w:t>
      </w:r>
      <w:r w:rsidRPr="00B37CD0">
        <w:t>learn</w:t>
      </w:r>
      <w:r>
        <w:t xml:space="preserve"> python package, logistic regression function, which directly take the aggregated one-hot vector of a patient as input. The second uses a single linear function after the embedding layer using the </w:t>
      </w:r>
      <w:r w:rsidRPr="00B37CD0">
        <w:t>pytorch</w:t>
      </w:r>
      <w:r>
        <w:t xml:space="preserve"> framework.</w:t>
      </w:r>
    </w:p>
    <w:p w:rsidR="0012344F" w:rsidRDefault="0012344F" w:rsidP="0012344F">
      <w:pPr>
        <w:pStyle w:val="BodyText"/>
      </w:pPr>
      <w:r>
        <w:t>The difference between the two models is showing the impact of the use of the embedding layer on the model prediction accuracy.</w:t>
      </w:r>
    </w:p>
    <w:p w:rsidR="0012344F" w:rsidRPr="0012344F" w:rsidRDefault="0012344F" w:rsidP="0012344F">
      <w:pPr>
        <w:pStyle w:val="Heading3"/>
      </w:pPr>
      <w:r>
        <w:t xml:space="preserve">Random Forest </w:t>
      </w:r>
    </w:p>
    <w:p w:rsidR="0012344F" w:rsidRDefault="0012344F" w:rsidP="0012344F">
      <w:pPr>
        <w:pStyle w:val="BodyText"/>
      </w:pPr>
      <w:r>
        <w:rPr>
          <w:spacing w:val="0"/>
          <w:lang w:val="en-US" w:eastAsia="en-US"/>
        </w:rPr>
        <w:tab/>
      </w:r>
      <w:r>
        <w:t xml:space="preserve">Another strong baseline is </w:t>
      </w:r>
      <w:r w:rsidR="00D52517">
        <w:t xml:space="preserve">a </w:t>
      </w:r>
      <w:r>
        <w:t xml:space="preserve">random forest, so we used the </w:t>
      </w:r>
      <w:r w:rsidRPr="00B37CD0">
        <w:t>sci</w:t>
      </w:r>
      <w:r>
        <w:t xml:space="preserve">-kit </w:t>
      </w:r>
      <w:r w:rsidRPr="00B37CD0">
        <w:t>learn</w:t>
      </w:r>
      <w:r>
        <w:t xml:space="preserve"> python package random forest classification package and tested the performance for our baseline.</w:t>
      </w:r>
    </w:p>
    <w:p w:rsidR="00FE2F53" w:rsidRDefault="00FE2F53" w:rsidP="00FE2F53">
      <w:pPr>
        <w:pStyle w:val="Heading2"/>
      </w:pPr>
      <w:r>
        <w:t>Recu</w:t>
      </w:r>
      <w:r w:rsidR="001807B4">
        <w:t xml:space="preserve">rrent Neural Network </w:t>
      </w:r>
      <w:r>
        <w:t>models</w:t>
      </w:r>
    </w:p>
    <w:p w:rsidR="0012344F" w:rsidRPr="0012344F" w:rsidRDefault="0012344F" w:rsidP="0012344F">
      <w:pPr>
        <w:pStyle w:val="Heading3"/>
      </w:pPr>
      <w:r>
        <w:t>Basic RNN models</w:t>
      </w:r>
    </w:p>
    <w:p w:rsidR="0012344F" w:rsidRDefault="0012344F" w:rsidP="0012344F">
      <w:pPr>
        <w:pStyle w:val="BodyText"/>
      </w:pPr>
      <w:r>
        <w:t xml:space="preserve">RNNs are neural network models that take a sequence of vectors, one at a time step, as input, and output a sequence of vectors or numbers at each time step. For our </w:t>
      </w:r>
      <w:r w:rsidRPr="0012344F">
        <w:t xml:space="preserve">prediction </w:t>
      </w:r>
      <w:r>
        <w:t>task</w:t>
      </w:r>
      <w:r w:rsidR="00D52517">
        <w:t>,</w:t>
      </w:r>
      <w:r>
        <w:t xml:space="preserve"> </w:t>
      </w:r>
      <w:r w:rsidRPr="0012344F">
        <w:t>we commonly consider</w:t>
      </w:r>
      <w:r>
        <w:t xml:space="preserve"> the output at the last time step</w:t>
      </w:r>
      <w:r w:rsidRPr="0012344F">
        <w:t xml:space="preserve"> as it represent</w:t>
      </w:r>
      <w:r w:rsidR="00D52517">
        <w:t>s</w:t>
      </w:r>
      <w:r w:rsidRPr="0012344F">
        <w:t xml:space="preserve"> the patient risk at the time of discharge of the index encounter</w:t>
      </w:r>
      <w:r>
        <w:t xml:space="preserve">. RNN map the dependency from </w:t>
      </w:r>
      <w:r w:rsidR="00D52517">
        <w:t xml:space="preserve">a </w:t>
      </w:r>
      <w:r w:rsidRPr="00B37CD0">
        <w:t>one-time</w:t>
      </w:r>
      <w:r>
        <w:t xml:space="preserve"> step to the next </w:t>
      </w:r>
      <w:r w:rsidRPr="0012344F">
        <w:t xml:space="preserve">through the </w:t>
      </w:r>
      <w:r>
        <w:t>sequence of hidden vectors used to represent information passed on from one time step to the next. Recurrent computations are conducted at the “RNN cell”</w:t>
      </w:r>
      <w:r w:rsidRPr="0012344F">
        <w:t xml:space="preserve"> which is </w:t>
      </w:r>
      <w:r>
        <w:t xml:space="preserve">the </w:t>
      </w:r>
      <w:r w:rsidRPr="0012344F">
        <w:t>u</w:t>
      </w:r>
      <w:r>
        <w:t xml:space="preserve">nit that maps the input and hidden vector from </w:t>
      </w:r>
      <w:r w:rsidR="00D52517">
        <w:t xml:space="preserve">the </w:t>
      </w:r>
      <w:r>
        <w:t>previous time step to the output and the hidden vector to the next time step.</w:t>
      </w:r>
      <w:r w:rsidRPr="0012344F">
        <w:t xml:space="preserve"> There are three main types of RNN cells, namely vanilla RNN, Long and Short Term </w:t>
      </w:r>
      <w:r w:rsidR="00D52517">
        <w:t>M</w:t>
      </w:r>
      <w:r w:rsidRPr="0012344F">
        <w:t xml:space="preserve">emory (LSTM) and Gated Recurrent Unit (GRU). </w:t>
      </w:r>
      <w:r>
        <w:t xml:space="preserve">The vanilla RNN cell </w:t>
      </w:r>
      <w:r>
        <w:fldChar w:fldCharType="begin" w:fldLock="1"/>
      </w:r>
      <w:r w:rsidR="0000768D">
        <w:instrText>ADDIN CSL_CITATION {"citationItems":[{"id":"ITEM-1","itemData":{"DOI":"10.1103/PhysRevLett.59.2229","ISSN":"0031-9007","author":[{"dropping-particle":"","family":"Pineda","given":"Fernando J.","non-dropping-particle":"","parse-names":false,"suffix":""}],"container-title":"Physical Review Letters","id":"ITEM-1","issue":"19","issued":{"date-parts":[["1987","11","9"]]},"page":"2229-2232","publisher":"American Physical Society","title":"Generalization of back-propagation to recurrent neural networks","type":"article-journal","volume":"59"},"uris":["http://www.mendeley.com/documents/?uuid=9001eab8-18bf-33d2-aeb8-37cbc1091848"]},{"id":"ITEM-2","itemData":{"DOI":"10.1073/PNAS.79.8.2554","ISSN":"0027-8424","PMID":"6953413","abstract":"Computational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devices.","author":[{"dropping-particle":"","family":"Hopfield","given":"J J","non-dropping-particle":"","parse-names":false,"suffix":""}],"container-title":"Proceedings of the National Academy of Sciences of the United States of America","id":"ITEM-2","issue":"8","issued":{"date-parts":[["1982","4","1"]]},"page":"2554-8","publisher":"National Academy of Sciences","title":"Neural networks and physical systems with emergent collective computational abilities.","type":"article-journal","volume":"79"},"uris":["http://www.mendeley.com/documents/?uuid=30177264-5e42-38d2-acfb-fe389cd9524b"]}],"mendeley":{"formattedCitation":"[16], [17]","plainTextFormattedCitation":"[16], [17]","previouslyFormattedCitation":"(Hopfield, 1982; Pineda, 1987)"},"properties":{"noteIndex":0},"schema":"https://github.com/citation-style-language/schema/raw/master/csl-citation.json"}</w:instrText>
      </w:r>
      <w:r>
        <w:fldChar w:fldCharType="separate"/>
      </w:r>
      <w:r w:rsidR="0000768D" w:rsidRPr="0000768D">
        <w:rPr>
          <w:noProof/>
        </w:rPr>
        <w:t>[16], [17]</w:t>
      </w:r>
      <w:r>
        <w:fldChar w:fldCharType="end"/>
      </w:r>
      <w:r>
        <w:t xml:space="preserve"> consists of a single non-linear function. the major drawback for the vanilla RNN that it cannot keep the memory for longer sequences for vanishing gradient </w:t>
      </w:r>
      <w:r>
        <w:fldChar w:fldCharType="begin" w:fldLock="1"/>
      </w:r>
      <w:r w:rsidR="0000768D">
        <w:instrText>ADDIN CSL_CITATION {"citationItems":[{"id":"ITEM-1","itemData":{"abstract":"Countless learning tasks require dealing with sequential data. Image captioning, speech synthesis, and music generation all require that a model produce outputs that are sequences. In other domains, such as time series prediction, video analysis, and musical information retrieval, a model must learn from inputs that are sequences. Interactive tasks, such as translating natural language, engaging in dialogue, and controlling a robot, often demand both capabilities. Recurrent neural networks (RNNs) are connec-tionist models that capture the dynamics of sequences via cycles in the network of nodes. Unlike standard feedforward neural networks, recurrent networks retain a state that can represent information from an arbitrarily long context window. Although recurrent neural networks have traditionally been difficult to train, and often contain millions of parameters, recent advances in network architectures, optimization techniques, and parallel computation have enabled successful large-scale learning with them. In recent years, systems based on long short-term memory (LSTM) and bidirectional (BRNN) architectures have demonstrated groundbreaking performance on tasks as varied as image captioning, language translation, and handwriting recognition. In this survey, we review and synthesize the research that over the past three decades first yielded and then made practical these powerful learning models. When appropriate, we reconcile conflicting notation and nomenclature. Our goal is to provide a self-contained explication of the state of the art together with a historical perspective and references to primary research.","author":[{"dropping-particle":"","family":"Lipton","given":"Zachary C","non-dropping-particle":"","parse-names":false,"suffix":""},{"dropping-particle":"","family":"Berkowitz","given":"John","non-dropping-particle":"","parse-names":false,"suffix":""},{"dropping-particle":"","family":"Elkan","given":"Charles","non-dropping-particle":"","parse-names":false,"suffix":""}],"id":"ITEM-1","issued":{"date-parts":[["2015"]]},"title":"A Critical Review of Recurrent Neural Networks for Sequence Learning","type":"article-journal"},"uris":["http://www.mendeley.com/documents/?uuid=2f406452-6194-35cf-8f70-25765f772623"]},{"id":"ITEM-2","itemData":{"author":[{"dropping-particle":"","family":"Bengio","given":"Y","non-dropping-particle":"","parse-names":false,"suffix":""},{"dropping-particle":"","family":"Simard","given":"P","non-dropping-particle":"","parse-names":false,"suffix":""},{"dropping-particle":"","family":"networks","given":"P Frasconi - transactions on neural","non-dropping-particle":"","parse-names":false,"suffix":""},{"dropping-particle":"","family":"1994","given":"undefined","non-dropping-particle":"","parse-names":false,"suffix":""}],"container-title":"comp.hkbu.edu.hk","id":"ITEM-2","issued":{"date-parts":[["0"]]},"title":"Learning long-term dependencies with gradient descent is difficult","type":"article-journal"},"uris":["http://www.mendeley.com/documents/?uuid=096da570-030e-3da0-a62a-71de57c50072"]}],"mendeley":{"formattedCitation":"[18], [19]","plainTextFormattedCitation":"[18], [19]","previouslyFormattedCitation":"(Bengio, Simard, networks, &amp; 1994, n.d.; Lipton, Berkowitz, &amp; Elkan, 2015)"},"properties":{"noteIndex":0},"schema":"https://github.com/citation-style-language/schema/raw/master/csl-citation.json"}</w:instrText>
      </w:r>
      <w:r>
        <w:fldChar w:fldCharType="separate"/>
      </w:r>
      <w:r w:rsidR="0000768D" w:rsidRPr="0000768D">
        <w:rPr>
          <w:noProof/>
        </w:rPr>
        <w:t>[18], [19]</w:t>
      </w:r>
      <w:r>
        <w:fldChar w:fldCharType="end"/>
      </w:r>
      <w:r>
        <w:t xml:space="preserve">. LSTM is a special kind of RNN that is capable of learning long-time dependencies. It was first introduced in 1997 </w:t>
      </w:r>
      <w:r>
        <w:fldChar w:fldCharType="begin" w:fldLock="1"/>
      </w:r>
      <w:r w:rsidR="0000768D">
        <w:instrText>ADDIN CSL_CITATION {"citationItems":[{"id":"ITEM-1","itemData":{"abstract":"Learning to store information over extended time intervals via recurrent backpropagation takes a very long time, mostly due to insuucient, decaying error back ow. We brieey review Hochreiter's 1991 analysis of this problem, then address it by introducing a novel, eecient, gradient-based method called \\Long Short-Term Memory\" (LSTM). Truncating the gradient where this does not do harm, LSTM can learn to bridge minimal time lags in excess of 1000 discrete time steps by enforcing constant error ow through \\constant error carrousels\" within special units. Multiplicative gate units learn to open and close access to the constant error ow. LSTM is local in space and time; its computational complexity per time step and weight is O(1). Our experiments with artiicial data involve local, distributed, real-valued, and noisy pattern representations. In comparisons with RTRL, BPTT, Recurrent Cascade-Correlation, Elman nets, and Neural Sequence Chunking, LSTM leads to many more successful runs, and learns much faster. LSTM also solves complex, artiicial long time lag tasks that have never been solved by previous recurrent network algorithms.","author":[{"dropping-particle":"","family":"Hochreiter","given":"Sepp","non-dropping-particle":"","parse-names":false,"suffix":""},{"dropping-particle":"","family":"Urgen Schmidhuber","given":"J J","non-dropping-particle":"","parse-names":false,"suffix":""}],"container-title":"MEMORY Neural Computation","id":"ITEM-1","issue":"8","issued":{"date-parts":[["1997"]]},"page":"1735-1780","title":"Long Short-Term Memory","type":"article-journal","volume":"9"},"uris":["http://www.mendeley.com/documents/?uuid=41b78ef4-0d74-3b59-94e6-57343bbe4b44"]}],"mendeley":{"formattedCitation":"[7]","plainTextFormattedCitation":"[7]","previouslyFormattedCitation":"(Hochreiter &amp; Urgen Schmidhuber, 1997)"},"properties":{"noteIndex":0},"schema":"https://github.com/citation-style-language/schema/raw/master/csl-citation.json"}</w:instrText>
      </w:r>
      <w:r>
        <w:fldChar w:fldCharType="separate"/>
      </w:r>
      <w:r w:rsidR="0000768D" w:rsidRPr="0000768D">
        <w:rPr>
          <w:noProof/>
        </w:rPr>
        <w:t>[7]</w:t>
      </w:r>
      <w:r>
        <w:fldChar w:fldCharType="end"/>
      </w:r>
      <w:r>
        <w:t xml:space="preserve">. The LSTM uses the idea of “Constant Error Flow” for RNNs to create a “Constant Error Carousel” (CEC) which ensures that gradients don’t decay, and therefore prevents back-propagated errors from vanishing or exploding. The LSTM cell has three additional gates namely forget, input and output gates </w:t>
      </w:r>
      <w:r>
        <w:fldChar w:fldCharType="begin" w:fldLock="1"/>
      </w:r>
      <w:r w:rsidR="0000768D">
        <w:instrText>ADDIN CSL_CITATION {"citationItems":[{"id":"ITEM-1","itemData":{"ISSN":"0899-7667","PMID":"11032042","abstract":"Long short-term memory (LSTM; Hochreiter &amp;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way.","author":[{"dropping-particle":"","family":"Gers","given":"F A","non-dropping-particle":"","parse-names":false,"suffix":""},{"dropping-particle":"","family":"Schmidhuber","given":"J","non-dropping-particle":"","parse-names":false,"suffix":""},{"dropping-particle":"","family":"Cummins","given":"F","non-dropping-particle":"","parse-names":false,"suffix":""}],"container-title":"Neural computation","id":"ITEM-1","issue":"10","issued":{"date-parts":[["2000","10"]]},"page":"2451-71","title":"Learning to forget: continual prediction with LSTM.","type":"article-journal","volume":"12"},"uris":["http://www.mendeley.com/documents/?uuid=d03f3ab0-0837-3baa-99a6-e55dcab2e8e2"]}],"mendeley":{"formattedCitation":"[20]","plainTextFormattedCitation":"[20]","previouslyFormattedCitation":"(Gers, Schmidhuber, &amp; Cummins, 2000)"},"properties":{"noteIndex":0},"schema":"https://github.com/citation-style-language/schema/raw/master/csl-citation.json"}</w:instrText>
      </w:r>
      <w:r>
        <w:fldChar w:fldCharType="separate"/>
      </w:r>
      <w:r w:rsidR="0000768D" w:rsidRPr="0000768D">
        <w:rPr>
          <w:noProof/>
        </w:rPr>
        <w:t>[20]</w:t>
      </w:r>
      <w:r>
        <w:fldChar w:fldCharType="end"/>
      </w:r>
      <w:r>
        <w:t xml:space="preserve">, a gate is mainly a sigmoid function. While </w:t>
      </w:r>
      <w:r w:rsidRPr="00B37CD0">
        <w:t>G</w:t>
      </w:r>
      <w:r>
        <w:t xml:space="preserve">RU is one of the latest most popular modifications of basic RNN cell introduced in 2014 </w:t>
      </w:r>
      <w:r>
        <w:fldChar w:fldCharType="begin" w:fldLock="1"/>
      </w:r>
      <w:r w:rsidR="0000768D">
        <w:instrText>ADDIN CSL_CITATION {"citationItems":[{"id":"ITEM-1","itemData":{"abstract":"In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id":"ITEM-1","issued":{"date-parts":[["0"]]},"title":"Learning Phrase Representations using RNN Encoder-Decoder for Statistical Machine Translation","type":"report"},"uris":["http://www.mendeley.com/documents/?uuid=2d753c3e-ee57-3830-88e1-e153d7f92d22"]}],"mendeley":{"formattedCitation":"[8]","plainTextFormattedCitation":"[8]","previouslyFormattedCitation":"(Cho et al., n.d.)"},"properties":{"noteIndex":0},"schema":"https://github.com/citation-style-language/schema/raw/master/csl-citation.json"}</w:instrText>
      </w:r>
      <w:r>
        <w:fldChar w:fldCharType="separate"/>
      </w:r>
      <w:r w:rsidR="0000768D" w:rsidRPr="0000768D">
        <w:rPr>
          <w:noProof/>
        </w:rPr>
        <w:t>[8]</w:t>
      </w:r>
      <w:r>
        <w:fldChar w:fldCharType="end"/>
      </w:r>
      <w:r>
        <w:t xml:space="preserve">, GRU used similar gating mechanism to controls the flow of information similarly like LSTM, but without </w:t>
      </w:r>
      <w:r>
        <w:lastRenderedPageBreak/>
        <w:t xml:space="preserve">the output gate. That is, it exposes the full hidden content without any control. The performance of GRU is on par with LSTM, but computationally more efficient </w:t>
      </w:r>
      <w:r>
        <w:fldChar w:fldCharType="begin" w:fldLock="1"/>
      </w:r>
      <w:r w:rsidR="0000768D">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12","11"]]},"title":"Empirical Evaluation of Gated Recurrent Neural Networks on Sequence Modeling","type":"article-journal"},"uris":["http://www.mendeley.com/documents/?uuid=64b4899a-9eb0-30af-9e59-470a8512a693"]}],"mendeley":{"formattedCitation":"[21]","plainTextFormattedCitation":"[21]","previouslyFormattedCitation":"(Chung, Gulcehre, Cho, &amp; Bengio, 2014)"},"properties":{"noteIndex":0},"schema":"https://github.com/citation-style-language/schema/raw/master/csl-citation.json"}</w:instrText>
      </w:r>
      <w:r>
        <w:fldChar w:fldCharType="separate"/>
      </w:r>
      <w:r w:rsidR="0000768D" w:rsidRPr="0000768D">
        <w:rPr>
          <w:noProof/>
        </w:rPr>
        <w:t>[21]</w:t>
      </w:r>
      <w:r>
        <w:fldChar w:fldCharType="end"/>
      </w:r>
      <w:r>
        <w:t xml:space="preserve">. </w:t>
      </w:r>
    </w:p>
    <w:p w:rsidR="0012344F" w:rsidRDefault="0012344F" w:rsidP="0012344F">
      <w:pPr>
        <w:pStyle w:val="BodyText"/>
      </w:pPr>
      <w:r>
        <w:t xml:space="preserve"> We evaluate the performan</w:t>
      </w:r>
      <w:r>
        <w:rPr>
          <w:lang w:val="en-US"/>
        </w:rPr>
        <w:t xml:space="preserve">ce of each cell type </w:t>
      </w:r>
      <w:r>
        <w:t>using</w:t>
      </w:r>
      <w:r>
        <w:rPr>
          <w:lang w:val="en-US"/>
        </w:rPr>
        <w:t xml:space="preserve"> basic RNN functions available within</w:t>
      </w:r>
      <w:r>
        <w:t xml:space="preserve"> </w:t>
      </w:r>
      <w:r w:rsidRPr="00B37CD0">
        <w:t>PyTorch</w:t>
      </w:r>
      <w:r>
        <w:t xml:space="preserve"> v.</w:t>
      </w:r>
      <w:r>
        <w:rPr>
          <w:lang w:val="en-US"/>
        </w:rPr>
        <w:t>1</w:t>
      </w:r>
      <w:r>
        <w:t xml:space="preserve"> framework </w:t>
      </w:r>
      <w:r>
        <w:fldChar w:fldCharType="begin" w:fldLock="1"/>
      </w:r>
      <w:r w:rsidR="0000768D">
        <w:instrText>ADDIN CSL_CITATION {"citationItems":[{"id":"ITEM-1","itemData":{"URL":"https://pytorch.org/docs/stable/index.html","accessed":{"date-parts":[["2018","9","28"]]},"id":"ITEM-1","issued":{"date-parts":[["0"]]},"title":"PyTorch documentation — PyTorch master documentation","type":"webpage"},"uris":["http://www.mendeley.com/documents/?uuid=1e586492-4d75-3523-8368-3d2406d815fc"]}],"mendeley":{"formattedCitation":"[22]","plainTextFormattedCitation":"[22]","previouslyFormattedCitation":"(“PyTorch documentation — PyTorch master documentation,” n.d.)"},"properties":{"noteIndex":0},"schema":"https://github.com/citation-style-language/schema/raw/master/csl-citation.json"}</w:instrText>
      </w:r>
      <w:r>
        <w:fldChar w:fldCharType="separate"/>
      </w:r>
      <w:r w:rsidR="0000768D" w:rsidRPr="0000768D">
        <w:rPr>
          <w:noProof/>
        </w:rPr>
        <w:t>[22]</w:t>
      </w:r>
      <w:r>
        <w:fldChar w:fldCharType="end"/>
      </w:r>
    </w:p>
    <w:p w:rsidR="0012344F" w:rsidRPr="0012344F" w:rsidRDefault="0012344F" w:rsidP="0012344F">
      <w:pPr>
        <w:pStyle w:val="Heading3"/>
      </w:pPr>
      <w:r w:rsidRPr="0012344F">
        <w:t>Bidirectional RNN models</w:t>
      </w:r>
    </w:p>
    <w:p w:rsidR="0012344F" w:rsidRDefault="0012344F" w:rsidP="0012344F">
      <w:pPr>
        <w:pStyle w:val="BodyText"/>
      </w:pPr>
      <w:r w:rsidRPr="0012344F">
        <w:t xml:space="preserve">RNN is by default dealing with the sequence input in one direction. In 1997 the idea of using both past and future data to calculate the current time step hidden state was published on </w:t>
      </w:r>
      <w:r w:rsidRPr="0012344F">
        <w:fldChar w:fldCharType="begin" w:fldLock="1"/>
      </w:r>
      <w:r w:rsidR="0000768D">
        <w:instrText>ADDIN CSL_CITATION {"citationItems":[{"id":"ITEM-1","itemData":{"abstract":"In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 Index Terms-Recurrent neural networks.","author":[{"dropping-particle":"","family":"Schuster","given":"Mike","non-dropping-particle":"","parse-names":false,"suffix":""},{"dropping-particle":"","family":"Paliwal","given":"Kuldip K","non-dropping-particle":"","parse-names":false,"suffix":""}],"container-title":"IEEE TRANSACTIONS ON SIGNAL PROCESSING","id":"ITEM-1","issue":"11","issued":{"date-parts":[["1997"]]},"title":"Bidirectional Recurrent Neural Networks","type":"article-journal","volume":"45"},"uris":["http://www.mendeley.com/documents/?uuid=a47a4113-eba5-3fb7-a6e3-f4976456827e"]}],"mendeley":{"formattedCitation":"[23]","plainTextFormattedCitation":"[23]","previouslyFormattedCitation":"(Schuster &amp; Paliwal, 1997)"},"properties":{"noteIndex":0},"schema":"https://github.com/citation-style-language/schema/raw/master/csl-citation.json"}</w:instrText>
      </w:r>
      <w:r w:rsidRPr="0012344F">
        <w:fldChar w:fldCharType="separate"/>
      </w:r>
      <w:r w:rsidR="0000768D" w:rsidRPr="0000768D">
        <w:rPr>
          <w:noProof/>
        </w:rPr>
        <w:t>[23]</w:t>
      </w:r>
      <w:r w:rsidRPr="0012344F">
        <w:fldChar w:fldCharType="end"/>
      </w:r>
      <w:r w:rsidRPr="0012344F">
        <w:t xml:space="preserve">. The outputs of two RNNs on both directions are concatenated together to produce output signals. This technique proved to be especially useful when combined with LSTM RNNs </w:t>
      </w:r>
      <w:r w:rsidRPr="0012344F">
        <w:fldChar w:fldCharType="begin" w:fldLock="1"/>
      </w:r>
      <w:r w:rsidR="0000768D">
        <w:instrText>ADDIN CSL_CITATION {"citationItems":[{"id":"ITEM-1","itemData":{"DOI":"10.1109/tcbb.2007.1015","ISSN":"1545-5963","author":[{"dropping-particle":"","family":"Thireou","given":"T.","non-dropping-particle":"","parse-names":false,"suffix":""},{"dropping-particle":"","family":"Reczko","given":"M.","non-dropping-particle":"","parse-names":false,"suffix":""}],"container-title":"IEEE/ACM Transactions on Computational Biology and Bioinformatics","id":"ITEM-1","issue":"3","issued":{"date-parts":[["2007","7"]]},"page":"441-446","publisher":"IEEE Computer Society Press","title":"Bidirectional Long Short-Term Memory Networks for Predicting the Subcellular Localization of Eukaryotic Proteins","type":"article-journal","volume":"4"},"uris":["http://www.mendeley.com/documents/?uuid=da4c0729-3b87-3228-bf1d-03b274f97a2d"]},{"id":"ITEM-2","itemData":{"DOI":"10.1109/IJCNN.2005.1556215","ISBN":"0-7803-9048-2","author":[{"dropping-particle":"","family":"Graves","given":"A.","non-dropping-particle":"","parse-names":false,"suffix":""},{"dropping-particle":"","family":"Schmidhuber","given":"J.","non-dropping-particle":"","parse-names":false,"suffix":""}],"container-title":"Proceedings. 2005 IEEE International Joint Conference on Neural Networks, 2005.","id":"ITEM-2","issued":{"date-parts":[["0"]]},"page":"2047-2052","publisher":"IEEE","title":"Framewise phoneme classification with bidirectional LSTM networks","type":"paper-conference","volume":"4"},"uris":["http://www.mendeley.com/documents/?uuid=6857d372-6f76-3586-b45a-2cdf319e02aa"]},{"id":"ITEM-3","itemData":{"abstract":"Countless learning tasks require dealing with sequential data. Image captioning, speech synthesis, and music generation all require that a model produce outputs that are sequences. In other domains, such as time series prediction, video analysis, and musical information retrieval, a model must learn from inputs that are sequences. Interactive tasks, such as translating natural language, engaging in dialogue, and controlling a robot, often demand both capabilities. Recurrent neural networks (RNNs) are connec-tionist models that capture the dynamics of sequences via cycles in the network of nodes. Unlike standard feedforward neural networks, recurrent networks retain a state that can represent information from an arbitrarily long context window. Although recurrent neural networks have traditionally been difficult to train, and often contain millions of parameters, recent advances in network architectures, optimization techniques, and parallel computation have enabled successful large-scale learning with them. In recent years, systems based on long short-term memory (LSTM) and bidirectional (BRNN) architectures have demonstrated groundbreaking performance on tasks as varied as image captioning, language translation, and handwriting recognition. In this survey, we review and synthesize the research that over the past three decades first yielded and then made practical these powerful learning models. When appropriate, we reconcile conflicting notation and nomenclature. Our goal is to provide a self-contained explication of the state of the art together with a historical perspective and references to primary research.","author":[{"dropping-particle":"","family":"Lipton","given":"Zachary C","non-dropping-particle":"","parse-names":false,"suffix":""},{"dropping-particle":"","family":"Berkowitz","given":"John","non-dropping-particle":"","parse-names":false,"suffix":""},{"dropping-particle":"","family":"Elkan","given":"Charles","non-dropping-particle":"","parse-names":false,"suffix":""}],"id":"ITEM-3","issued":{"date-parts":[["2015"]]},"title":"A Critical Review of Recurrent Neural Networks for Sequence Learning","type":"article-journal"},"uris":["http://www.mendeley.com/documents/?uuid=2f406452-6194-35cf-8f70-25765f772623"]}],"mendeley":{"formattedCitation":"[18], [24], [25]","plainTextFormattedCitation":"[18], [24], [25]","previouslyFormattedCitation":"(Graves &amp; Schmidhuber, n.d.; Lipton et al., 2015; Thireou &amp; Reczko, 2007)"},"properties":{"noteIndex":0},"schema":"https://github.com/citation-style-language/schema/raw/master/csl-citation.json"}</w:instrText>
      </w:r>
      <w:r w:rsidRPr="0012344F">
        <w:fldChar w:fldCharType="separate"/>
      </w:r>
      <w:r w:rsidR="0000768D" w:rsidRPr="0000768D">
        <w:rPr>
          <w:noProof/>
        </w:rPr>
        <w:t>[18], [24], [25]</w:t>
      </w:r>
      <w:r w:rsidRPr="0012344F">
        <w:fldChar w:fldCharType="end"/>
      </w:r>
      <w:r w:rsidRPr="0012344F">
        <w:t xml:space="preserve"> as learning from future time steps to better understand the context and eliminate ambiguity. For the implementation of the Bidirectional RNN, we set the bidirectional option of different cell type to true, when defining the model and to calculate the final output we used the output of the last hidden layer from the first forward direction and the output at the first step for the reverse direction. We tested bidirectional RNN, LSTM and GRU cells.</w:t>
      </w:r>
    </w:p>
    <w:p w:rsidR="0012344F" w:rsidRDefault="0012344F" w:rsidP="0012344F">
      <w:pPr>
        <w:pStyle w:val="Heading3"/>
      </w:pPr>
      <w:r>
        <w:t>Dilated RNN models</w:t>
      </w:r>
    </w:p>
    <w:p w:rsidR="0012344F" w:rsidRPr="001807B4" w:rsidRDefault="0012344F" w:rsidP="0012344F">
      <w:pPr>
        <w:pStyle w:val="BodyText"/>
        <w:rPr>
          <w:lang w:val="en-US"/>
        </w:rPr>
      </w:pPr>
      <w:r w:rsidRPr="0012344F">
        <w:t>Dilated RNN was introduced in 2017</w:t>
      </w:r>
      <w:r w:rsidRPr="0012344F">
        <w:fldChar w:fldCharType="begin" w:fldLock="1"/>
      </w:r>
      <w:r w:rsidR="0000768D">
        <w:instrText>ADDIN CSL_CITATION {"citationItems":[{"id":"ITEM-1","itemData":{"abstract":"Learning with recurrent neural networks (RNNs) on long sequences is a notoriously difficult task. There are three major challenges: 1) complex dependencies, 2) vanishing and exploding gradients, and 3) efficient parallelization. In this paper, we introduce a simple yet effective RNN connection structure, the DilatedRNN, which simultaneously tackles all of these challenges. The proposed architecture is characterized by multi-resolution dilated recurrent skip connections and can be combined flexibly with diverse RNN cells. Moreover, the DilatedRNN reduces the number of parameters needed and enhances training efficiency significantly, while matching state-of-the-art performance (even with standard RNN cells) in tasks involving very long-term dependencies. To provide a theory-based quantification of the architecture's advantages, we introduce a memory capacity measure, the mean recurrent length, which is more suitable for RNNs with long skip connections than existing measures. We rigorously prove the advantages of the DilatedRNN over other recurrent neural architectures. The code for our method is publicly available at https://github.com/code-terminator/DilatedRNN","author":[{"dropping-particle":"","family":"Chang","given":"Shiyu","non-dropping-particle":"","parse-names":false,"suffix":""},{"dropping-particle":"","family":"Zhang","given":"Yang","non-dropping-particle":"","parse-names":false,"suffix":""},{"dropping-particle":"","family":"Han","given":"Wei","non-dropping-particle":"","parse-names":false,"suffix":""},{"dropping-particle":"","family":"Yu","given":"Mo","non-dropping-particle":"","parse-names":false,"suffix":""},{"dropping-particle":"","family":"Guo","given":"Xiaoxiao","non-dropping-particle":"","parse-names":false,"suffix":""},{"dropping-particle":"","family":"Tan","given":"Wei","non-dropping-particle":"","parse-names":false,"suffix":""},{"dropping-particle":"","family":"Cui","given":"Xiaodong","non-dropping-particle":"","parse-names":false,"suffix":""},{"dropping-particle":"","family":"Witbrock","given":"Michael","non-dropping-particle":"","parse-names":false,"suffix":""},{"dropping-particle":"","family":"Hasegawa-Johnson","given":"Mark","non-dropping-particle":"","parse-names":false,"suffix":""},{"dropping-particle":"","family":"Huang","given":"Thomas S.","non-dropping-particle":"","parse-names":false,"suffix":""}],"id":"ITEM-1","issued":{"date-parts":[["2017","10","5"]]},"title":"Dilated Recurrent Neural Networks","type":"article-journal"},"uris":["http://www.mendeley.com/documents/?uuid=0753e221-b7b1-3434-8d65-be6735191dec"]}],"mendeley":{"formattedCitation":"[26]","plainTextFormattedCitation":"[26]","previouslyFormattedCitation":"(Chang et al., 2017)"},"properties":{"noteIndex":0},"schema":"https://github.com/citation-style-language/schema/raw/master/csl-citation.json"}</w:instrText>
      </w:r>
      <w:r w:rsidRPr="0012344F">
        <w:fldChar w:fldCharType="separate"/>
      </w:r>
      <w:r w:rsidR="0000768D" w:rsidRPr="0000768D">
        <w:rPr>
          <w:noProof/>
        </w:rPr>
        <w:t>[26]</w:t>
      </w:r>
      <w:r w:rsidRPr="0012344F">
        <w:fldChar w:fldCharType="end"/>
      </w:r>
      <w:r w:rsidRPr="0012344F">
        <w:t xml:space="preserve"> inspired by the dilated causal convolutional neural network (CNN) architecture used by Wavenet. DRNN is a multi-layer cell-independent architecture characterized by multi-resolution dilated recurrent skip connections</w:t>
      </w:r>
      <w:r w:rsidR="001807B4">
        <w:rPr>
          <w:lang w:val="en-US"/>
        </w:rPr>
        <w:t>.</w:t>
      </w:r>
    </w:p>
    <w:p w:rsidR="0012344F" w:rsidRDefault="0012344F" w:rsidP="0012344F">
      <w:pPr>
        <w:pStyle w:val="BodyText"/>
      </w:pPr>
      <w:r w:rsidRPr="0012344F">
        <w:t xml:space="preserve">The main advantage of this architecture is to improve the ability of recurrent models to learn long-term dependency faster and with fewer parameters. For DRNN, we utilized the code available on </w:t>
      </w:r>
      <w:hyperlink r:id="rId15" w:history="1">
        <w:r w:rsidRPr="0012344F">
          <w:t>https://github.com/zalandoresearch/pt-dilate-rnn</w:t>
        </w:r>
      </w:hyperlink>
      <w:r w:rsidRPr="0012344F">
        <w:t xml:space="preserve"> after review.</w:t>
      </w:r>
    </w:p>
    <w:p w:rsidR="00AC0EBA" w:rsidRPr="0012344F" w:rsidRDefault="00E31DC1" w:rsidP="0012344F">
      <w:pPr>
        <w:pStyle w:val="BodyText"/>
      </w:pPr>
      <w:r>
        <w:rPr>
          <w:noProof/>
          <w:lang w:val="en-US" w:eastAsia="en-US"/>
        </w:rPr>
        <w:drawing>
          <wp:anchor distT="0" distB="0" distL="114300" distR="114300" simplePos="0" relativeHeight="251680256" behindDoc="1" locked="0" layoutInCell="1" allowOverlap="1" wp14:anchorId="7F7AD5F1" wp14:editId="266E8041">
            <wp:simplePos x="0" y="0"/>
            <wp:positionH relativeFrom="margin">
              <wp:align>right</wp:align>
            </wp:positionH>
            <wp:positionV relativeFrom="paragraph">
              <wp:posOffset>1767840</wp:posOffset>
            </wp:positionV>
            <wp:extent cx="2948940" cy="228600"/>
            <wp:effectExtent l="0" t="0" r="3810" b="0"/>
            <wp:wrapTight wrapText="bothSides">
              <wp:wrapPolygon edited="0">
                <wp:start x="0" y="0"/>
                <wp:lineTo x="0" y="19800"/>
                <wp:lineTo x="21488" y="19800"/>
                <wp:lineTo x="21488" y="0"/>
                <wp:lineTo x="0" y="0"/>
              </wp:wrapPolygon>
            </wp:wrapTight>
            <wp:docPr id="58" name="Text Box 58"/>
            <wp:cNvGraphicFramePr/>
            <a:graphic xmlns:a="http://purl.oclc.org/ooxml/drawingml/main">
              <a:graphicData uri="http://schemas.microsoft.com/office/word/2010/wordprocessingShape">
                <wp:wsp>
                  <wp:cNvSpPr txBox="1"/>
                  <wp:spPr>
                    <a:xfrm>
                      <a:off x="0" y="0"/>
                      <a:ext cx="2948940" cy="228600"/>
                    </a:xfrm>
                    <a:prstGeom prst="rect">
                      <a:avLst/>
                    </a:prstGeom>
                    <a:solidFill>
                      <a:prstClr val="white"/>
                    </a:solidFill>
                    <a:ln>
                      <a:noFill/>
                    </a:ln>
                  </wp:spPr>
                  <wp:txbx>
                    <wne:txbxContent>
                      <w:p w:rsidR="004F5DED" w:rsidRDefault="004F5DED" w:rsidP="006B2C80">
                        <w:pPr>
                          <w:pStyle w:val="figurecaption"/>
                        </w:pPr>
                        <w:r>
                          <w:t>Summary of different structures of RNN cells and layers.</w:t>
                        </w:r>
                      </w:p>
                      <w:p w:rsidR="004F5DED" w:rsidRPr="001344C5" w:rsidRDefault="004F5DED" w:rsidP="00E31DC1">
                        <w:pPr>
                          <w:pStyle w:val="Caption"/>
                          <w:rPr>
                            <w:noProof/>
                            <w:spacing w:val="-1"/>
                            <w:sz w:val="20"/>
                            <w:szCs w:val="20"/>
                            <w:lang w:val="x-none"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lang w:val="en-US" w:eastAsia="en-US"/>
        </w:rPr>
        <w:drawing>
          <wp:anchor distT="0" distB="0" distL="114300" distR="114300" simplePos="0" relativeHeight="251678208" behindDoc="1" locked="0" layoutInCell="1" allowOverlap="1" wp14:anchorId="28D02E6F" wp14:editId="5592256D">
            <wp:simplePos x="0" y="0"/>
            <wp:positionH relativeFrom="column">
              <wp:posOffset>-635</wp:posOffset>
            </wp:positionH>
            <wp:positionV relativeFrom="paragraph">
              <wp:posOffset>213360</wp:posOffset>
            </wp:positionV>
            <wp:extent cx="2948940" cy="1485900"/>
            <wp:effectExtent l="0" t="0" r="22860" b="19050"/>
            <wp:wrapTight wrapText="bothSides">
              <wp:wrapPolygon edited="0">
                <wp:start x="0" y="0"/>
                <wp:lineTo x="0" y="21600"/>
                <wp:lineTo x="21628" y="21600"/>
                <wp:lineTo x="21628"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48940" cy="1485900"/>
                    </a:xfrm>
                    <a:prstGeom prst="rect">
                      <a:avLst/>
                    </a:prstGeom>
                    <a:solidFill>
                      <a:srgbClr val="FFFFFF"/>
                    </a:solidFill>
                    <a:ln w="9525">
                      <a:solidFill>
                        <a:srgbClr val="000000"/>
                      </a:solidFill>
                      <a:miter lim="800%"/>
                      <a:headEnd/>
                      <a:tailEnd/>
                    </a:ln>
                  </wp:spPr>
                  <wp:txbx>
                    <wne:txbxContent>
                      <w:p w:rsidR="004F5DED" w:rsidRDefault="004F5DED" w:rsidP="00AC0EBA">
                        <w:pPr>
                          <w:pStyle w:val="BodyText"/>
                          <w:ind w:firstLine="0pt"/>
                        </w:pPr>
                        <w:r>
                          <w:rPr>
                            <w:noProof/>
                          </w:rPr>
                          <w:drawing>
                            <wp:inline distT="0" distB="0" distL="0" distR="0" wp14:anchorId="407B6C96" wp14:editId="5A018AEF">
                              <wp:extent cx="2743200" cy="1356360"/>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6"/>
                                      <a:srcRect l="13.4%" t="17.917%" r="2.885%" b="24.96%"/>
                                      <a:stretch/>
                                    </pic:blipFill>
                                    <pic:spPr bwMode="auto">
                                      <a:xfrm>
                                        <a:off x="0" y="0"/>
                                        <a:ext cx="2761039" cy="1365180"/>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rsidR="00E31DC1" w:rsidRPr="00E31DC1" w:rsidRDefault="00E31DC1" w:rsidP="00E31DC1">
      <w:pPr>
        <w:pStyle w:val="Heading3"/>
      </w:pPr>
      <w:r w:rsidRPr="00E31DC1">
        <w:t>Time Aware LSTM (TLSTM)</w:t>
      </w:r>
    </w:p>
    <w:p w:rsidR="00E31DC1" w:rsidRDefault="00E31DC1" w:rsidP="00E31DC1">
      <w:pPr>
        <w:pStyle w:val="BodyText"/>
      </w:pPr>
      <w:r w:rsidRPr="00E31DC1">
        <w:t xml:space="preserve">T-LSTM is a variation of the LSTM cell, that proposed add an additional time-aware gate within the LSTM cell that degrades the memory based on the duration between two consecutive patient’s visits </w:t>
      </w:r>
      <w:r w:rsidRPr="00E31DC1">
        <w:fldChar w:fldCharType="begin" w:fldLock="1"/>
      </w:r>
      <w:r w:rsidR="0000768D">
        <w:instrText xml:space="preserve">ADDIN CSL_CITATION {"citationItems":[{"id":"ITEM-1","itemData":{"DOI":"10.1145/3097983.3097997","ISBN":"9781450348874","abstract":"In the study of various diseases, heterogeneity among patients usually leads to diierent progression paaerns and may require diierent types of therapeutic intervention. .erefore, it is important to study patient subtyping, which is grouping of patients into disease characterizing subtypes. Subtyping from complex patient data is challenging because of the information heterogeneity and temporal dynamics. Long-Short Term Memory (LSTM) has been successfully used in many domains for processing sequential data, and recently applied for analyzing longitudinal patient records. .e LSTM units are designed to handle data with constant elapsed times between consecutive elements of a sequence. Given that time lapse between successive elements in patient records can vary from days to months, the design of traditional LSTM may lead to suboptimal performance. In this paper, we propose a novel LSTM unit called Time-Aware LSTM (T-LSTM) to handle irregular time intervals in longitudinal patient records. We learn a subspace decomposition of the cell memory which enables time decay to discount the memory content according to the elapsed time. We propose a patient subtyp-ing model that leverages the proposed T-LSTM in an auto-encoder to learn a powerful single representation for sequential records of patients, which are then used to cluster patients into clinical subtypes. Experiments on synthetic </w:instrText>
      </w:r>
      <w:r w:rsidR="0000768D">
        <w:rPr>
          <w:rFonts w:hint="eastAsia"/>
        </w:rPr>
        <w:instrText xml:space="preserve">and real world datasets show that the proposed T-LSTM architecture captures the underlying structures in the sequences with time irregularities. CCS CONCEPTS </w:instrText>
      </w:r>
      <w:r w:rsidR="0000768D">
        <w:rPr>
          <w:rFonts w:hint="eastAsia"/>
        </w:rPr>
        <w:instrText>•</w:instrText>
      </w:r>
      <w:r w:rsidR="0000768D">
        <w:rPr>
          <w:rFonts w:hint="eastAsia"/>
        </w:rPr>
        <w:instrText xml:space="preserve">Applied computing </w:instrText>
      </w:r>
      <w:r w:rsidR="0000768D">
        <w:rPr>
          <w:rFonts w:hint="eastAsia"/>
        </w:rPr>
        <w:instrText>→</w:instrText>
      </w:r>
      <w:r w:rsidR="0000768D">
        <w:rPr>
          <w:rFonts w:hint="eastAsia"/>
        </w:rPr>
        <w:instrText xml:space="preserve">Health informatics; </w:instrText>
      </w:r>
      <w:r w:rsidR="0000768D">
        <w:rPr>
          <w:rFonts w:hint="eastAsia"/>
        </w:rPr>
        <w:instrText>•</w:instrText>
      </w:r>
      <w:r w:rsidR="0000768D">
        <w:rPr>
          <w:rFonts w:hint="eastAsia"/>
        </w:rPr>
        <w:instrText xml:space="preserve">Mathematics of computing </w:instrText>
      </w:r>
      <w:r w:rsidR="0000768D">
        <w:rPr>
          <w:rFonts w:hint="eastAsia"/>
        </w:rPr>
        <w:instrText>→</w:instrText>
      </w:r>
      <w:r w:rsidR="0000768D">
        <w:rPr>
          <w:rFonts w:hint="eastAsia"/>
        </w:rPr>
        <w:instrText xml:space="preserve">Time series analysis; </w:instrText>
      </w:r>
      <w:r w:rsidR="0000768D">
        <w:rPr>
          <w:rFonts w:hint="eastAsia"/>
        </w:rPr>
        <w:instrText>•</w:instrText>
      </w:r>
      <w:r w:rsidR="0000768D">
        <w:rPr>
          <w:rFonts w:hint="eastAsia"/>
        </w:rPr>
        <w:instrText xml:space="preserve">Computing methodologies </w:instrText>
      </w:r>
      <w:r w:rsidR="0000768D">
        <w:rPr>
          <w:rFonts w:hint="eastAsia"/>
        </w:rPr>
        <w:instrText>→</w:instrText>
      </w:r>
      <w:r w:rsidR="0000768D">
        <w:rPr>
          <w:rFonts w:hint="eastAsia"/>
        </w:rPr>
        <w:instrText>Cluster analysis; Permission to make digital or hard copies of all or part of this work for personal or classroom use is granted without fee provided that copies are not made or distributed for proot or commercial advantage and that copi</w:instrText>
      </w:r>
      <w:r w:rsidR="0000768D">
        <w:instrText>es bear this notice and the full citation on the erst page. Copyrights for components of this work owned by others than ACM must be honored. Abstracting with credit is permiied. To copy otherwise, or republish, to post on servers or to redistribute to lists, requires prior speciic permission and/or a fee. Request permissions from permissions@acm.org.","author":[{"dropping-particle":"","family":"Baytas","given":"Inci M","non-dropping-particle":"","parse-names":false,"suffix":""},{"dropping-particle":"","family":"Xiao","given":"Cao","non-dropping-particle":"","parse-names":false,"suffix":""},{"dropping-particle":"","family":"Zhang","given":"Xi","non-dropping-particle":"","parse-names":false,"suffix":""},{"dropping-particle":"","family":"Wang","given":"Fei","non-dropping-particle":"","parse-names":false,"suffix":""},{"dropping-particle":"","family":"Jain","given":"Anil K","non-dropping-particle":"","parse-names":false,"suffix":""},{"dropping-particle":"","family":"Zhou","given":"Jiayu","non-dropping-particle":"","parse-names":false,"suffix":""}],"id":"ITEM-1","issued":{"date-parts":[["2017"]]},"title":"Patient Subtyping via Time-Aware LSTM Networks","type":"article-journal","volume":"10"},"uris":["http://www.mendeley.com/documents/?uuid=a866aad7-4dce-3000-ba65-ff8d53137f09"]}],"mendeley":{"formattedCitation":"[27]","plainTextFormattedCitation":"[27]","previouslyFormattedCitation":"(Baytas et al., 2017)"},"properties":{"noteIndex":0},"schema":"https://github.com/citation-style-language/schema/raw/master/csl-citation.json"}</w:instrText>
      </w:r>
      <w:r w:rsidRPr="00E31DC1">
        <w:fldChar w:fldCharType="separate"/>
      </w:r>
      <w:r w:rsidR="0000768D" w:rsidRPr="0000768D">
        <w:rPr>
          <w:noProof/>
        </w:rPr>
        <w:t>[27]</w:t>
      </w:r>
      <w:r w:rsidRPr="00E31DC1">
        <w:fldChar w:fldCharType="end"/>
      </w:r>
      <w:r w:rsidRPr="00E31DC1">
        <w:t>. Therefore, the main advantage of T-LSTM that it captures the dependency of sequential data along with time irregularities and assumed to be associated with higher prediction accuracy.</w:t>
      </w:r>
    </w:p>
    <w:p w:rsidR="00E31DC1" w:rsidRDefault="00E31DC1" w:rsidP="00E31DC1">
      <w:pPr>
        <w:pStyle w:val="Heading3"/>
      </w:pPr>
      <w:r>
        <w:t>Quasi RNN (QRNN)</w:t>
      </w:r>
    </w:p>
    <w:p w:rsidR="00E31DC1" w:rsidRDefault="00E31DC1" w:rsidP="00E31DC1">
      <w:pPr>
        <w:pStyle w:val="BodyText"/>
      </w:pPr>
      <w:r w:rsidRPr="00C61412">
        <w:t xml:space="preserve">QRNN </w:t>
      </w:r>
      <w:r>
        <w:t>wa</w:t>
      </w:r>
      <w:r w:rsidRPr="00C61412">
        <w:t xml:space="preserve">s developed by </w:t>
      </w:r>
      <w:r>
        <w:t xml:space="preserve">the </w:t>
      </w:r>
      <w:r w:rsidRPr="00C61412">
        <w:t>salesforce research team in 2016</w:t>
      </w:r>
      <w:r>
        <w:t xml:space="preserve"> </w:t>
      </w:r>
      <w:r w:rsidRPr="00C61412">
        <w:fldChar w:fldCharType="begin" w:fldLock="1"/>
      </w:r>
      <w:r w:rsidR="0000768D">
        <w:instrText>ADDIN CSL_CITATION {"citationItems":[{"id":"ITEM-1","itemData":{"abstract":"Recurrent neural networks are a powerful tool for modeling sequential data, but the dependence of each timestep's computation on the previous timestep's output limits parallelism and makes RNNs unwieldy for very long sequences. We introduce quasi-recurrent neural networks (QRNNs), an approach to neural sequence modeling that alternates convolutional layers, which apply in parallel across timesteps, and a minimalist recurrent pooling function that applies in parallel across channels. Despite lacking trainable recurrent layers, stacked QRNNs have better predictive accuracy than stacked LSTMs of the same hidden size. Due to their increased parallelism, they are up to 16 times faster at train and test time. Experiments on language modeling, sentiment classification, and character-level neural machine translation demonstrate these advantages and underline the viability of QRNNs as a basic building block for a variety of sequence tasks.","author":[{"dropping-particle":"","family":"Bradbury","given":"James","non-dropping-particle":"","parse-names":false,"suffix":""},{"dropping-particle":"","family":"Merity","given":"Stephen","non-dropping-particle":"","parse-names":false,"suffix":""},{"dropping-particle":"","family":"Xiong","given":"Caiming","non-dropping-particle":"","parse-names":false,"suffix":""},{"dropping-particle":"","family":"Socher","given":"Richard","non-dropping-particle":"","parse-names":false,"suffix":""}],"id":"ITEM-1","issued":{"date-parts":[["2016","11","4"]]},"title":"Quasi-Recurrent Neural Networks","type":"article-journal"},"uris":["http://www.mendeley.com/documents/?uuid=7a2e3808-da4d-3b3f-9690-b65b444b9a37"]}],"mendeley":{"formattedCitation":"[28]","manualFormatting":"(Bradbury, et al., 2016)","plainTextFormattedCitation":"[28]","previouslyFormattedCitation":"(Bradbury, Merity, Xiong, &amp; Socher, 2016)"},"properties":{"noteIndex":0},"schema":"https://github.com/citation-style-language/schema/raw/master/csl-citation.json"}</w:instrText>
      </w:r>
      <w:r w:rsidRPr="00C61412">
        <w:fldChar w:fldCharType="separate"/>
      </w:r>
      <w:r w:rsidRPr="00C61412">
        <w:rPr>
          <w:noProof/>
        </w:rPr>
        <w:t>(B</w:t>
      </w:r>
      <w:r>
        <w:rPr>
          <w:noProof/>
        </w:rPr>
        <w:t>radbury, et al.</w:t>
      </w:r>
      <w:r w:rsidRPr="00C61412">
        <w:rPr>
          <w:noProof/>
        </w:rPr>
        <w:t>, 2016)</w:t>
      </w:r>
      <w:r w:rsidRPr="00C61412">
        <w:fldChar w:fldCharType="end"/>
      </w:r>
      <w:r w:rsidRPr="00C61412">
        <w:t xml:space="preserve">, it alternates convolutional layers and a recurrent pooling function in across time steps. The main advantage of QRNN models is the fast speed on </w:t>
      </w:r>
      <w:r w:rsidRPr="00C61412">
        <w:lastRenderedPageBreak/>
        <w:t xml:space="preserve">model training and evaluation, along with better predictive accuracy with stacked layers. </w:t>
      </w:r>
    </w:p>
    <w:p w:rsidR="0062293B" w:rsidRDefault="0062293B" w:rsidP="0062293B">
      <w:pPr>
        <w:pStyle w:val="Heading2"/>
      </w:pPr>
      <w:r>
        <w:t>Bayesian Optimization</w:t>
      </w:r>
    </w:p>
    <w:p w:rsidR="0062293B" w:rsidRPr="0062293B" w:rsidRDefault="0062293B" w:rsidP="0062293B">
      <w:pPr>
        <w:ind w:firstLine="14.40pt"/>
        <w:jc w:val="both"/>
        <w:rPr>
          <w:spacing w:val="-1"/>
          <w:lang w:val="x-none" w:eastAsia="x-none"/>
        </w:rPr>
      </w:pPr>
      <w:r w:rsidRPr="0062293B">
        <w:rPr>
          <w:spacing w:val="-1"/>
          <w:lang w:val="x-none" w:eastAsia="x-none"/>
        </w:rPr>
        <w:t>For hyper</w:t>
      </w:r>
      <w:r w:rsidR="008D0475">
        <w:rPr>
          <w:spacing w:val="-1"/>
          <w:lang w:eastAsia="x-none"/>
        </w:rPr>
        <w:t>-</w:t>
      </w:r>
      <w:r w:rsidRPr="0062293B">
        <w:rPr>
          <w:spacing w:val="-1"/>
          <w:lang w:val="x-none" w:eastAsia="x-none"/>
        </w:rPr>
        <w:t>parameters selection for the models above, we tuned the parameters</w:t>
      </w:r>
      <w:r w:rsidR="00AC0EBA">
        <w:rPr>
          <w:spacing w:val="-1"/>
          <w:lang w:eastAsia="x-none"/>
        </w:rPr>
        <w:t xml:space="preserve"> on a sample set of a single hospital</w:t>
      </w:r>
      <w:r w:rsidRPr="0062293B">
        <w:rPr>
          <w:spacing w:val="-1"/>
          <w:lang w:val="x-none" w:eastAsia="x-none"/>
        </w:rPr>
        <w:t xml:space="preserve"> using Bayesian</w:t>
      </w:r>
      <w:r>
        <w:rPr>
          <w:spacing w:val="-1"/>
          <w:lang w:eastAsia="x-none"/>
        </w:rPr>
        <w:t xml:space="preserve"> </w:t>
      </w:r>
      <w:r w:rsidRPr="0062293B">
        <w:rPr>
          <w:spacing w:val="-1"/>
          <w:lang w:val="x-none" w:eastAsia="x-none"/>
        </w:rPr>
        <w:t xml:space="preserve">Optimization package available on </w:t>
      </w:r>
      <w:hyperlink r:id="rId17">
        <w:r w:rsidRPr="0062293B">
          <w:rPr>
            <w:spacing w:val="-1"/>
            <w:lang w:val="x-none" w:eastAsia="x-none"/>
          </w:rPr>
          <w:t>https://github.com/fmfn/BayesianOptimization</w:t>
        </w:r>
      </w:hyperlink>
      <w:r w:rsidRPr="0062293B">
        <w:rPr>
          <w:spacing w:val="-1"/>
          <w:lang w:val="x-none" w:eastAsia="x-none"/>
        </w:rPr>
        <w:t>. Bayesian optimization (BO) is a Sequential Model-based Global Optimization that uses a Gaussian Process to compute the expected improvement of any point in the search space that will lead to better results</w:t>
      </w:r>
      <w:r w:rsidRPr="0062293B">
        <w:rPr>
          <w:spacing w:val="-1"/>
          <w:lang w:val="x-none" w:eastAsia="x-none"/>
        </w:rPr>
        <w:fldChar w:fldCharType="begin" w:fldLock="1"/>
      </w:r>
      <w:r w:rsidR="0000768D">
        <w:rPr>
          <w:spacing w:val="-1"/>
          <w:lang w:val="x-none" w:eastAsia="x-none"/>
        </w:rPr>
        <w:instrText>ADDIN CSL_CITATION {"citationItems":[{"id":"ITEM-1","itemData":{"DOI":"10.1145/1390156.1390157","ISBN":"9781605582054","author":[{"dropping-particle":"","family":"Adams","given":"Ryan Prescott","non-dropping-particle":"","parse-names":false,"suffix":""},{"dropping-particle":"","family":"Stegle","given":"Oliver","non-dropping-particle":"","parse-names":false,"suffix":""}],"container-title":"Proceedings of the 25th international conference on Machine learning - ICML '08","id":"ITEM-1","issued":{"date-parts":[["2008"]]},"page":"1-8","publisher":"ACM Press","publisher-place":"New York, New York, USA","title":"Gaussian process product models for nonparametric nonstationarity","type":"paper-conference"},"uris":["http://www.mendeley.com/documents/?uuid=5d6d8d33-b3d9-366a-977d-05b026ccacb8"]}],"mendeley":{"formattedCitation":"[29]","plainTextFormattedCitation":"[29]","previouslyFormattedCitation":"(Adams &amp; Stegle, 2008)"},"properties":{"noteIndex":0},"schema":"https://github.com/citation-style-language/schema/raw/master/csl-citation.json"}</w:instrText>
      </w:r>
      <w:r w:rsidRPr="0062293B">
        <w:rPr>
          <w:spacing w:val="-1"/>
          <w:lang w:val="x-none" w:eastAsia="x-none"/>
        </w:rPr>
        <w:fldChar w:fldCharType="separate"/>
      </w:r>
      <w:r w:rsidR="0000768D" w:rsidRPr="0000768D">
        <w:rPr>
          <w:noProof/>
          <w:spacing w:val="-1"/>
          <w:lang w:val="x-none" w:eastAsia="x-none"/>
        </w:rPr>
        <w:t>[29]</w:t>
      </w:r>
      <w:r w:rsidRPr="0062293B">
        <w:rPr>
          <w:spacing w:val="-1"/>
          <w:lang w:val="x-none" w:eastAsia="x-none"/>
        </w:rPr>
        <w:fldChar w:fldCharType="end"/>
      </w:r>
      <w:r w:rsidRPr="0062293B">
        <w:rPr>
          <w:spacing w:val="-1"/>
          <w:lang w:val="x-none" w:eastAsia="x-none"/>
        </w:rPr>
        <w:t xml:space="preserve"> </w:t>
      </w:r>
      <w:r w:rsidRPr="0062293B">
        <w:rPr>
          <w:spacing w:val="-1"/>
          <w:lang w:val="x-none" w:eastAsia="x-none"/>
        </w:rPr>
        <w:fldChar w:fldCharType="begin" w:fldLock="1"/>
      </w:r>
      <w:r w:rsidR="0000768D">
        <w:rPr>
          <w:spacing w:val="-1"/>
          <w:lang w:val="x-none" w:eastAsia="x-none"/>
        </w:rPr>
        <w:instrText>ADDIN CSL_CITATION {"citationItems":[{"id":"ITEM-1","itemData":{"DOI":"10.1109/JPROC.2015.2494218","ISSN":"0018-9219","author":[{"dropping-particle":"","family":"Shahriari","given":"Bobak","non-dropping-particle":"","parse-names":false,"suffix":""},{"dropping-particle":"","family":"Swersky","given":"Kevin","non-dropping-particle":"","parse-names":false,"suffix":""},{"dropping-particle":"","family":"Wang","given":"Ziyu","non-dropping-particle":"","parse-names":false,"suffix":""},{"dropping-particle":"","family":"Adams","given":"Ryan P.","non-dropping-particle":"","parse-names":false,"suffix":""},{"dropping-particle":"","family":"Freitas","given":"Nando","non-dropping-particle":"de","parse-names":false,"suffix":""}],"container-title":"Proceedings of the IEEE","id":"ITEM-1","issue":"1","issued":{"date-parts":[["2016","1"]]},"page":"148-175","title":"Taking the Human Out of the Loop: A Review of Bayesian Optimization","type":"article-journal","volume":"104"},"uris":["http://www.mendeley.com/documents/?uuid=1a30bdc2-1db2-3ede-bce4-5fc8b483a6d4"]}],"mendeley":{"formattedCitation":"[30]","plainTextFormattedCitation":"[30]","previouslyFormattedCitation":"(Shahriari, Swersky, Wang, Adams, &amp; de Freitas, 2016)"},"properties":{"noteIndex":0},"schema":"https://github.com/citation-style-language/schema/raw/master/csl-citation.json"}</w:instrText>
      </w:r>
      <w:r w:rsidRPr="0062293B">
        <w:rPr>
          <w:spacing w:val="-1"/>
          <w:lang w:val="x-none" w:eastAsia="x-none"/>
        </w:rPr>
        <w:fldChar w:fldCharType="separate"/>
      </w:r>
      <w:r w:rsidR="0000768D" w:rsidRPr="0000768D">
        <w:rPr>
          <w:noProof/>
          <w:spacing w:val="-1"/>
          <w:lang w:val="x-none" w:eastAsia="x-none"/>
        </w:rPr>
        <w:t>[30]</w:t>
      </w:r>
      <w:r w:rsidRPr="0062293B">
        <w:rPr>
          <w:spacing w:val="-1"/>
          <w:lang w:val="x-none" w:eastAsia="x-none"/>
        </w:rPr>
        <w:fldChar w:fldCharType="end"/>
      </w:r>
      <w:r w:rsidRPr="0062293B">
        <w:rPr>
          <w:spacing w:val="-1"/>
          <w:lang w:val="x-none" w:eastAsia="x-none"/>
        </w:rPr>
        <w:t>. As BO gives better results with continuous hyper</w:t>
      </w:r>
      <w:r w:rsidR="008D0475">
        <w:rPr>
          <w:spacing w:val="-1"/>
          <w:lang w:eastAsia="x-none"/>
        </w:rPr>
        <w:t>-</w:t>
      </w:r>
      <w:r w:rsidRPr="0062293B">
        <w:rPr>
          <w:spacing w:val="-1"/>
          <w:lang w:val="x-none" w:eastAsia="x-none"/>
        </w:rPr>
        <w:t>parameters, So we designed our hyperparameter tuning as follows:</w:t>
      </w:r>
    </w:p>
    <w:p w:rsidR="0062293B" w:rsidRPr="0062293B" w:rsidRDefault="0062293B" w:rsidP="0062293B">
      <w:pPr>
        <w:pStyle w:val="bulletlist"/>
        <w:numPr>
          <w:ilvl w:val="0"/>
          <w:numId w:val="29"/>
        </w:numPr>
      </w:pPr>
      <w:r w:rsidRPr="0062293B">
        <w:t xml:space="preserve">Each model architecture we did grid search on categorical parameters like model parameters optimization function ‘optimizer’, and then run BO on other numerical </w:t>
      </w:r>
      <w:r w:rsidR="008D0475">
        <w:t>hyper-</w:t>
      </w:r>
      <w:r w:rsidR="008D0475" w:rsidRPr="0062293B">
        <w:t>parameters</w:t>
      </w:r>
      <w:r w:rsidRPr="0062293B">
        <w:t xml:space="preserve"> for each model optimizer combination.</w:t>
      </w:r>
    </w:p>
    <w:p w:rsidR="0062293B" w:rsidRPr="0062293B" w:rsidRDefault="0062293B" w:rsidP="0062293B">
      <w:pPr>
        <w:pStyle w:val="bulletlist"/>
        <w:numPr>
          <w:ilvl w:val="0"/>
          <w:numId w:val="29"/>
        </w:numPr>
      </w:pPr>
      <w:r w:rsidRPr="0062293B">
        <w:t>For optimizer related hyper</w:t>
      </w:r>
      <w:r w:rsidR="008D0475">
        <w:rPr>
          <w:lang w:val="en-US"/>
        </w:rPr>
        <w:t>-</w:t>
      </w:r>
      <w:r w:rsidRPr="0062293B">
        <w:t>parameters like Learning rate, L2 penalty, and Numerical tolerance (epsilon), BO search was set on the Log10 space, while for the embedding and hidden dimensions, we used the Log2 space.</w:t>
      </w:r>
    </w:p>
    <w:p w:rsidR="0062293B" w:rsidRPr="0062293B" w:rsidRDefault="0062293B" w:rsidP="0062293B">
      <w:pPr>
        <w:pStyle w:val="bulletlist"/>
        <w:numPr>
          <w:ilvl w:val="0"/>
          <w:numId w:val="29"/>
        </w:numPr>
      </w:pPr>
      <w:r w:rsidRPr="0062293B">
        <w:t xml:space="preserve">For the Bi-directional RNN, we limited our initial search for </w:t>
      </w:r>
      <w:r w:rsidR="00D52517">
        <w:t xml:space="preserve">a </w:t>
      </w:r>
      <w:r w:rsidRPr="0062293B">
        <w:t>single layer</w:t>
      </w:r>
      <w:r w:rsidR="00D52517">
        <w:rPr>
          <w:lang w:val="en-US"/>
        </w:rPr>
        <w:t xml:space="preserve"> for computational resources utilization</w:t>
      </w:r>
      <w:r w:rsidRPr="0062293B">
        <w:t xml:space="preserve">, </w:t>
      </w:r>
      <w:r w:rsidR="00D52517">
        <w:rPr>
          <w:lang w:val="en-US"/>
        </w:rPr>
        <w:t>while we search multi-layers up to 3 layers for unidirectional architecture</w:t>
      </w:r>
      <w:r w:rsidRPr="0062293B">
        <w:t>.</w:t>
      </w:r>
    </w:p>
    <w:p w:rsidR="0062293B" w:rsidRPr="0062293B" w:rsidRDefault="0062293B" w:rsidP="0062293B">
      <w:pPr>
        <w:pStyle w:val="bulletlist"/>
        <w:numPr>
          <w:ilvl w:val="0"/>
          <w:numId w:val="29"/>
        </w:numPr>
      </w:pPr>
      <w:r w:rsidRPr="0062293B">
        <w:t>For Dilated RNN, the number of layers was searched as integer values between 1 and 4, and the dilation depth was calculated based on it.</w:t>
      </w:r>
    </w:p>
    <w:p w:rsidR="0062293B" w:rsidRPr="0062293B" w:rsidRDefault="0062293B" w:rsidP="0062293B">
      <w:pPr>
        <w:pStyle w:val="bulletlist"/>
        <w:numPr>
          <w:ilvl w:val="0"/>
          <w:numId w:val="29"/>
        </w:numPr>
      </w:pPr>
      <w:r w:rsidRPr="0062293B">
        <w:t>For ‘Adadelta’ optimizer, we were overriding the learning rate to 1, as other values in the search space were associated with much lower performance.</w:t>
      </w:r>
    </w:p>
    <w:p w:rsidR="007B320C" w:rsidRDefault="0062293B" w:rsidP="0062293B">
      <w:pPr>
        <w:pStyle w:val="bulletlist"/>
        <w:numPr>
          <w:ilvl w:val="0"/>
          <w:numId w:val="29"/>
        </w:numPr>
      </w:pPr>
      <w:r w:rsidRPr="0062293B">
        <w:t>In general, we used the Matern Kernel for the BO</w:t>
      </w:r>
    </w:p>
    <w:p w:rsidR="007B320C" w:rsidRDefault="007B320C" w:rsidP="007B320C">
      <w:pPr>
        <w:pStyle w:val="bulletlist"/>
        <w:numPr>
          <w:ilvl w:val="0"/>
          <w:numId w:val="0"/>
        </w:numPr>
        <w:ind w:start="32.40pt"/>
      </w:pPr>
    </w:p>
    <w:p w:rsidR="007B320C" w:rsidRDefault="007B320C" w:rsidP="007B320C">
      <w:pPr>
        <w:pStyle w:val="Heading2"/>
        <w:ind w:start="18pt"/>
      </w:pPr>
      <w:r>
        <w:t>Evaluation Criteria</w:t>
      </w:r>
    </w:p>
    <w:p w:rsidR="007B320C" w:rsidRDefault="007B320C" w:rsidP="007B320C">
      <w:pPr>
        <w:pStyle w:val="BodyText"/>
      </w:pPr>
      <w:r>
        <w:t xml:space="preserve">Our cohort is split into </w:t>
      </w:r>
      <w:r w:rsidRPr="00B37CD0">
        <w:t>train,</w:t>
      </w:r>
      <w:r>
        <w:t xml:space="preserve"> validation and test sets on the 7:1:2 ratio.</w:t>
      </w:r>
      <w:r>
        <w:rPr>
          <w:lang w:val="en-US"/>
        </w:rPr>
        <w:t xml:space="preserve"> </w:t>
      </w:r>
      <w:r>
        <w:t xml:space="preserve">We mainly use the area under the </w:t>
      </w:r>
      <w:r w:rsidRPr="00B37CD0">
        <w:t>ROC</w:t>
      </w:r>
      <w:r>
        <w:t xml:space="preserve"> curve (AUROC) as our main evaluation criteria among all models. We select the best model from the BO based on the validation set AUROC, and we report the Test AUC for the best models. Models comparison is based on Test AUC. </w:t>
      </w:r>
    </w:p>
    <w:p w:rsidR="00AC0EBA" w:rsidRDefault="00783020" w:rsidP="00AC0EBA">
      <w:pPr>
        <w:pStyle w:val="bulletlist"/>
        <w:keepNext/>
        <w:numPr>
          <w:ilvl w:val="0"/>
          <w:numId w:val="0"/>
        </w:numPr>
      </w:pPr>
      <w:r>
        <w:rPr>
          <w:noProof/>
        </w:rPr>
        <w:drawing>
          <wp:anchor distT="0" distB="0" distL="114300" distR="114300" simplePos="0" relativeHeight="251686400" behindDoc="1" locked="0" layoutInCell="1" allowOverlap="1" wp14:anchorId="3F39E09A" wp14:editId="2A6A4C5D">
            <wp:simplePos x="0" y="0"/>
            <wp:positionH relativeFrom="column">
              <wp:posOffset>3463925</wp:posOffset>
            </wp:positionH>
            <wp:positionV relativeFrom="paragraph">
              <wp:posOffset>1818005</wp:posOffset>
            </wp:positionV>
            <wp:extent cx="2956560" cy="635"/>
            <wp:effectExtent l="0" t="0" r="0" b="0"/>
            <wp:wrapTight wrapText="bothSides">
              <wp:wrapPolygon edited="0">
                <wp:start x="0" y="0"/>
                <wp:lineTo x="0" y="21600"/>
                <wp:lineTo x="21600" y="21600"/>
                <wp:lineTo x="21600" y="0"/>
              </wp:wrapPolygon>
            </wp:wrapTight>
            <wp:docPr id="40" name="Text Box 40"/>
            <wp:cNvGraphicFramePr/>
            <a:graphic xmlns:a="http://purl.oclc.org/ooxml/drawingml/main">
              <a:graphicData uri="http://schemas.microsoft.com/office/word/2010/wordprocessingShape">
                <wp:wsp>
                  <wp:cNvSpPr txBox="1"/>
                  <wp:spPr>
                    <a:xfrm>
                      <a:off x="0" y="0"/>
                      <a:ext cx="2956560" cy="635"/>
                    </a:xfrm>
                    <a:prstGeom prst="rect">
                      <a:avLst/>
                    </a:prstGeom>
                    <a:solidFill>
                      <a:prstClr val="white"/>
                    </a:solidFill>
                    <a:ln>
                      <a:noFill/>
                    </a:ln>
                  </wp:spPr>
                  <wp:txbx>
                    <wne:txbxContent>
                      <w:p w:rsidR="00783020" w:rsidRPr="00783020" w:rsidRDefault="00783020" w:rsidP="0025477C">
                        <w:pPr>
                          <w:pStyle w:val="figurecaption"/>
                          <w:numPr>
                            <w:ilvl w:val="0"/>
                            <w:numId w:val="37"/>
                          </w:numPr>
                          <w:rPr>
                            <w:spacing w:val="-1"/>
                            <w:sz w:val="20"/>
                            <w:szCs w:val="20"/>
                          </w:rPr>
                        </w:pPr>
                        <w:r>
                          <w:t>Test AUC for different models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val="en-US" w:eastAsia="en-US"/>
        </w:rPr>
        <w:drawing>
          <wp:anchor distT="0" distB="0" distL="114300" distR="114300" simplePos="0" relativeHeight="251682304" behindDoc="1" locked="0" layoutInCell="1" allowOverlap="1" wp14:anchorId="46D2497A" wp14:editId="0C59B865">
            <wp:simplePos x="0" y="0"/>
            <wp:positionH relativeFrom="margin">
              <wp:posOffset>3463925</wp:posOffset>
            </wp:positionH>
            <wp:positionV relativeFrom="paragraph">
              <wp:posOffset>122555</wp:posOffset>
            </wp:positionV>
            <wp:extent cx="2956560" cy="1638300"/>
            <wp:effectExtent l="0" t="0" r="15240" b="19050"/>
            <wp:wrapTight wrapText="bothSides">
              <wp:wrapPolygon edited="0">
                <wp:start x="0" y="0"/>
                <wp:lineTo x="0" y="21600"/>
                <wp:lineTo x="21572" y="21600"/>
                <wp:lineTo x="21572" y="0"/>
                <wp:lineTo x="0" y="0"/>
              </wp:wrapPolygon>
            </wp:wrapTight>
            <wp:docPr id="3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6560" cy="1638300"/>
                    </a:xfrm>
                    <a:prstGeom prst="rect">
                      <a:avLst/>
                    </a:prstGeom>
                    <a:solidFill>
                      <a:srgbClr val="FFFFFF"/>
                    </a:solidFill>
                    <a:ln w="9525">
                      <a:solidFill>
                        <a:srgbClr val="000000"/>
                      </a:solidFill>
                      <a:miter lim="800%"/>
                      <a:headEnd/>
                      <a:tailEnd/>
                    </a:ln>
                  </wp:spPr>
                  <wp:txbx>
                    <wne:txbxContent>
                      <w:p w:rsidR="00783020" w:rsidRDefault="006B2C80" w:rsidP="00783020">
                        <w:pPr>
                          <w:pStyle w:val="BodyText"/>
                          <w:keepNext/>
                          <w:ind w:firstLine="0pt"/>
                        </w:pPr>
                        <w:r>
                          <w:rPr>
                            <w:noProof/>
                          </w:rPr>
                          <w:drawing>
                            <wp:inline distT="0" distB="0" distL="0" distR="0" wp14:anchorId="71296C2D" wp14:editId="5D27DB9A">
                              <wp:extent cx="2819400" cy="1536700"/>
                              <wp:effectExtent l="0" t="0" r="0" b="635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8"/>
                                      <a:srcRect l="1.262%" t="2.245%" r="16.215%" b="45.982%"/>
                                      <a:stretch/>
                                    </pic:blipFill>
                                    <pic:spPr bwMode="auto">
                                      <a:xfrm>
                                        <a:off x="0" y="0"/>
                                        <a:ext cx="2846893" cy="1551685"/>
                                      </a:xfrm>
                                      <a:prstGeom prst="rect">
                                        <a:avLst/>
                                      </a:prstGeom>
                                      <a:ln>
                                        <a:noFill/>
                                      </a:ln>
                                      <a:extLst>
                                        <a:ext uri="{53640926-AAD7-44D8-BBD7-CCE9431645EC}">
                                          <a14:shadowObscured xmlns:a14="http://schemas.microsoft.com/office/drawing/2010/main"/>
                                        </a:ext>
                                      </a:extLst>
                                    </pic:spPr>
                                  </pic:pic>
                                </a:graphicData>
                              </a:graphic>
                            </wp:inline>
                          </w:drawing>
                        </w:r>
                      </w:p>
                      <w:p w:rsidR="00783020" w:rsidRDefault="00783020" w:rsidP="00783020">
                        <w:pPr>
                          <w:pStyle w:val="Caption"/>
                          <w:jc w:val="both"/>
                        </w:pPr>
                        <w:r>
                          <w:t xml:space="preserve">Figure </w:t>
                        </w:r>
                        <w:r>
                          <w:fldChar w:fldCharType="begin"/>
                        </w:r>
                        <w:r>
                          <w:instrText xml:space="preserve"> SEQ Figure \* ARABIC </w:instrText>
                        </w:r>
                        <w:r>
                          <w:fldChar w:fldCharType="separate"/>
                        </w:r>
                        <w:r>
                          <w:rPr>
                            <w:noProof/>
                          </w:rPr>
                          <w:t>2</w:t>
                        </w:r>
                        <w:r>
                          <w:fldChar w:fldCharType="end"/>
                        </w:r>
                        <w:r w:rsidRPr="002E5721">
                          <w:t>ig. 3.</w:t>
                        </w:r>
                        <w:r w:rsidRPr="002E5721">
                          <w:tab/>
                          <w:t>The proposed model training framework</w:t>
                        </w:r>
                      </w:p>
                      <w:p w:rsidR="006B2C80" w:rsidRDefault="006B2C80" w:rsidP="006B2C80">
                        <w:pPr>
                          <w:pStyle w:val="BodyText"/>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C0EBA">
        <w:rPr>
          <w:noProof/>
          <w:lang w:val="en-US" w:eastAsia="en-US"/>
        </w:rPr>
        <w:drawing>
          <wp:inline distT="0" distB="0" distL="0" distR="0" wp14:anchorId="039A2A34" wp14:editId="4C51C204">
            <wp:extent cx="3223260" cy="1356360"/>
            <wp:effectExtent l="0" t="0" r="0"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719" cy="1360761"/>
                    </a:xfrm>
                    <a:prstGeom prst="rect">
                      <a:avLst/>
                    </a:prstGeom>
                    <a:noFill/>
                  </pic:spPr>
                </pic:pic>
              </a:graphicData>
            </a:graphic>
          </wp:inline>
        </w:drawing>
      </w:r>
    </w:p>
    <w:p w:rsidR="00783020" w:rsidRDefault="00783020" w:rsidP="00783020">
      <w:pPr>
        <w:pStyle w:val="figurecaption"/>
        <w:numPr>
          <w:ilvl w:val="0"/>
          <w:numId w:val="37"/>
        </w:numPr>
      </w:pPr>
      <w:r>
        <w:t>The proposed model training framework</w:t>
      </w:r>
    </w:p>
    <w:p w:rsidR="00AC0EBA" w:rsidRDefault="00AC0EBA" w:rsidP="00AC0EBA">
      <w:pPr>
        <w:pStyle w:val="Heading1"/>
        <w:numPr>
          <w:ilvl w:val="0"/>
          <w:numId w:val="0"/>
        </w:numPr>
        <w:jc w:val="both"/>
      </w:pPr>
    </w:p>
    <w:p w:rsidR="009303D9" w:rsidRDefault="00FE2F53" w:rsidP="00AC0EBA">
      <w:pPr>
        <w:pStyle w:val="Heading1"/>
      </w:pPr>
      <w:r>
        <w:t>Results</w:t>
      </w:r>
    </w:p>
    <w:p w:rsidR="00AC0EBA" w:rsidRDefault="00AC0EBA" w:rsidP="00AC0EBA">
      <w:pPr>
        <w:pStyle w:val="BodyText"/>
        <w:rPr>
          <w:lang w:val="en-US"/>
        </w:rPr>
      </w:pPr>
      <w:r>
        <w:rPr>
          <w:lang w:val="en-US"/>
        </w:rPr>
        <w:t xml:space="preserve">Preliminary results from the BO </w:t>
      </w:r>
      <w:r w:rsidR="00D52517">
        <w:rPr>
          <w:lang w:val="en-US"/>
        </w:rPr>
        <w:t xml:space="preserve">search as appears in Table I </w:t>
      </w:r>
      <w:r>
        <w:rPr>
          <w:lang w:val="en-US"/>
        </w:rPr>
        <w:t xml:space="preserve">showed that bidirectional LSTM or GRU models </w:t>
      </w:r>
      <w:r>
        <w:rPr>
          <w:lang w:val="en-US"/>
        </w:rPr>
        <w:lastRenderedPageBreak/>
        <w:t xml:space="preserve">trained with RMSprop or any other adaptive optimizers is associated with the highest prediction accuracy with validation AUROC of around 72% and AUROC on test set of around 69% where baseline logistic regression and random forest showed AUROC around 60% and 64% respectively on the test set. </w:t>
      </w:r>
    </w:p>
    <w:p w:rsidR="00B80C6C" w:rsidRPr="00AC0EBA" w:rsidRDefault="00B80C6C" w:rsidP="00B80C6C">
      <w:pPr>
        <w:pStyle w:val="BodyText"/>
        <w:rPr>
          <w:lang w:val="en-US"/>
        </w:rPr>
      </w:pPr>
      <w:r>
        <w:rPr>
          <w:lang w:val="en-US"/>
        </w:rPr>
        <w:t>Retrain the models on the full cohort data set using the same hyperparameters associated with the best model (Bi-LSTM) as appear in Table I showed an AUROC of (xxx) on the validation set and AUROC of (xxx) on test set while LR showed an AUC of around 59% on test set and  RF of (xxx).</w:t>
      </w:r>
    </w:p>
    <w:p w:rsidR="00B80C6C" w:rsidRDefault="00B80C6C" w:rsidP="00B80C6C">
      <w:pPr>
        <w:pStyle w:val="Heading1"/>
        <w:numPr>
          <w:ilvl w:val="0"/>
          <w:numId w:val="0"/>
        </w:numPr>
        <w:jc w:val="both"/>
      </w:pPr>
    </w:p>
    <w:p w:rsidR="00AC0EBA" w:rsidRDefault="00AC0EBA" w:rsidP="00AC0EBA">
      <w:pPr>
        <w:pStyle w:val="Heading1"/>
      </w:pPr>
      <w:r>
        <w:t>Discussion &amp; Conclusion</w:t>
      </w:r>
    </w:p>
    <w:p w:rsidR="00783020" w:rsidRPr="00783020" w:rsidRDefault="00783020" w:rsidP="00783020">
      <w:pPr>
        <w:pStyle w:val="BodyText"/>
        <w:rPr>
          <w:lang w:val="en-US"/>
        </w:rPr>
      </w:pPr>
      <w:r w:rsidRPr="00783020">
        <w:rPr>
          <w:lang w:val="en-US"/>
        </w:rPr>
        <w:t xml:space="preserve">We trained a large number of models with hyperparameter variations on each cohort. We identified the best model within a specific category based on the validation AUC. Figure 1 is showing the AUC on the Test set. Interestingly, the best performing model was the simple unidirectional GRU. In addition, we tested ensembling GRU with LR but that does not improve the model. </w:t>
      </w:r>
      <w:r w:rsidRPr="00783020">
        <w:rPr>
          <w:lang w:val="en-US"/>
        </w:rPr>
        <w:t>Overall, we found our results inline with NLP researchers observations</w:t>
      </w:r>
      <w:r w:rsidRPr="00783020">
        <w:rPr>
          <w:lang w:val="en-US"/>
        </w:rPr>
        <w:fldChar w:fldCharType="begin" w:fldLock="1"/>
      </w:r>
      <w:r w:rsidRPr="00783020">
        <w:rPr>
          <w:lang w:val="en-US"/>
        </w:rPr>
        <w:instrText>ADDIN CSL_CITATION {"citationItems":[{"id":"ITEM-1","itemData":{"abstract":"Ongoing innovations in recurrent neural network architectures have provided a steady influx of apparently state-of-the-art results on language modelling benchmarks. However, these have been evaluated using differing code bases and limited computational resources, which represent uncontrolled sources of experimental variation. We reevaluate several popular architectures and regularisation methods with large-scale automatic black-box hyperparameter tuning and arrive at the somewhat surprising conclusion that standard LSTM architectures, when properly regularised, outperform more recent models. We establish a new state of the art on the Penn Treebank and Wikitext-2 corpora, as well as strong baselines on the Hutter Prize dataset.","author":[{"dropping-particle":"","family":"Melis","given":"Gábor","non-dropping-particle":"","parse-names":false,"suffix":""},{"dropping-particle":"","family":"Dyer","given":"Chris","non-dropping-particle":"","parse-names":false,"suffix":""},{"dropping-particle":"","family":"Blunsom","given":"Phil","non-dropping-particle":"","parse-names":false,"suffix":""}],"id":"ITEM-1","issued":{"date-parts":[["2017","7","18"]]},"title":"On the State of the Art of Evaluation in Neural Language Models","type":"article-journal"},"uris":["http://www.mendeley.com/documents/?uuid=5e07a08a-887a-3d98-a63c-4f4920c9b693"]},{"id":"ITEM-2","itemData":{"abstract":"The Recurrent Neural Network (RNN) is an ex-tremely powerful sequence model that is often difficult to train. The Long Short-Term Memory (LSTM) is a specific RNN architecture whose design makes it much easier to train. While wildly successful in practice, the LSTM's archi-tecture appears to be ad-hoc so it is not clear if it is optimal, and the significance of its individual components is unclear. In this work, we aim to determine whether the LSTM architecture is optimal or whether much better architectures exist. We conducted a thor-ough architecture search where we evaluated over ten thousand different RNN architectures, and identified an architecture that outperforms both the LSTM and the recently-introduced Gated Recurrent Unit (GRU) on some but not all tasks. We found that adding a bias of 1 to the LSTM's forget gate closes the gap between the LSTM and the GRU.","author":[{"dropping-particle":"","family":"Jozefowicz","given":"Rafal","non-dropping-particle":"","parse-names":false,"suffix":""},{"dropping-particle":"","family":"Zaremba","given":"Wojciech","non-dropping-particle":"","parse-names":false,"suffix":""},{"dropping-particle":"","family":"Sutskever","given":"Ilya","non-dropping-particle":"","parse-names":false,"suffix":""}],"id":"ITEM-2","issued":{"date-parts":[["0"]]},"title":"An Empirical Exploration of Recurrent Network Architectures","type":"article-journal"},"uris":["http://www.mendeley.com/documents/?uuid=3a950244-6bde-327b-a1b9-ff0333d9c3e3"]}],"mendeley":{"formattedCitation":"[31], [32]","plainTextFormattedCitation":"[31], [32]","previouslyFormattedCitation":"(Jozefowicz, Zaremba, &amp; Sutskever, n.d.; Melis, Dyer, &amp; Blunsom, 2017)"},"properties":{"noteIndex":0},"schema":"https://github.com/citation-style-language/schema/raw/master/csl-citation.json"}</w:instrText>
      </w:r>
      <w:r w:rsidRPr="00783020">
        <w:rPr>
          <w:lang w:val="en-US"/>
        </w:rPr>
        <w:fldChar w:fldCharType="separate"/>
      </w:r>
      <w:r w:rsidRPr="00783020">
        <w:rPr>
          <w:lang w:val="en-US"/>
        </w:rPr>
        <w:t>[31], [32]</w:t>
      </w:r>
      <w:r w:rsidRPr="00783020">
        <w:rPr>
          <w:lang w:val="en-US"/>
        </w:rPr>
        <w:fldChar w:fldCharType="end"/>
      </w:r>
      <w:r w:rsidRPr="00783020">
        <w:rPr>
          <w:lang w:val="en-US"/>
        </w:rPr>
        <w:t xml:space="preserve">. Baseline RNN models such as GRU are often sufficient for predictive modeling tasks in EHR. One of the limitations of the current study is that we focused on a single hospital, due to constraints of computational resources. We plan to test and compare on the full cohort that includes hundreds of thousands of patients across multiple hospitals to further verify our conclusions. </w:t>
      </w:r>
    </w:p>
    <w:p w:rsidR="00AC0EBA" w:rsidRDefault="00AC0EBA" w:rsidP="00AC0EBA">
      <w:pPr>
        <w:pStyle w:val="BodyText"/>
        <w:rPr>
          <w:lang w:val="en-US"/>
        </w:rPr>
      </w:pPr>
      <w:r>
        <w:rPr>
          <w:lang w:val="en-US"/>
        </w:rPr>
        <w:t>Consistently the preliminary results of this study showed that RNN based models are outperforming the prediction accuracy of common machine learning models like LR and RF. Still</w:t>
      </w:r>
      <w:r w:rsidR="00D52517">
        <w:rPr>
          <w:lang w:val="en-US"/>
        </w:rPr>
        <w:t>,</w:t>
      </w:r>
      <w:r>
        <w:rPr>
          <w:lang w:val="en-US"/>
        </w:rPr>
        <w:t xml:space="preserve"> basic RNN models lack the interpretability advantage available with such models. Future work to consider adding attention layers over the RNN model for interpretability.</w:t>
      </w:r>
    </w:p>
    <w:p w:rsidR="00AC0EBA" w:rsidRDefault="00AC0EBA" w:rsidP="00AC0EBA">
      <w:pPr>
        <w:pStyle w:val="BodyText"/>
        <w:rPr>
          <w:lang w:val="en-US"/>
        </w:rPr>
      </w:pPr>
      <w:r>
        <w:rPr>
          <w:lang w:val="en-US"/>
        </w:rPr>
        <w:t>Although the key conclusion of this experiment shows is consistent with results from a previous experiment done on different cohort extracted from an older version of Cerner Healthfacts®,</w:t>
      </w:r>
      <w:r w:rsidR="00D52517">
        <w:rPr>
          <w:lang w:val="en-US"/>
        </w:rPr>
        <w:t xml:space="preserve"> </w:t>
      </w:r>
      <w:r>
        <w:rPr>
          <w:lang w:val="en-US"/>
        </w:rPr>
        <w:t xml:space="preserve">The results of the preliminary Bayesian optimization in this study experiments are somehow different from the results of a similar study previously. The previous study showed that a unidirectional GRU based model trained with an adagrad optimizer is associated with better prediction accuracy (reported AUROC on </w:t>
      </w:r>
      <w:r w:rsidR="00D52517">
        <w:rPr>
          <w:lang w:val="en-US"/>
        </w:rPr>
        <w:t xml:space="preserve">the </w:t>
      </w:r>
      <w:r>
        <w:rPr>
          <w:lang w:val="en-US"/>
        </w:rPr>
        <w:t xml:space="preserve">test set was 75.5%). We can reflect that for two main reasons, the first is the number of covariates, the maximum numbers of </w:t>
      </w:r>
      <w:r>
        <w:rPr>
          <w:lang w:val="en-US"/>
        </w:rPr>
        <w:lastRenderedPageBreak/>
        <w:t>covariates in the previous study was around 20,000 while the covariates in this experiment w</w:t>
      </w:r>
      <w:r w:rsidR="00D52517">
        <w:rPr>
          <w:lang w:val="en-US"/>
        </w:rPr>
        <w:t>ere</w:t>
      </w:r>
      <w:r>
        <w:rPr>
          <w:lang w:val="en-US"/>
        </w:rPr>
        <w:t xml:space="preserve"> around 85,000. The second reason is the criteria for the cohort definition, the previous study identified cases as patients with any incidence of early readmission during their full history in contrast to the criteria in this study where cases are patients who readmit before 30 days from their first inpatient hospitalization discharge date.</w:t>
      </w:r>
    </w:p>
    <w:p w:rsidR="00B80C6C" w:rsidRPr="00AC0EBA" w:rsidRDefault="00B80C6C" w:rsidP="00AC0EBA">
      <w:pPr>
        <w:pStyle w:val="BodyText"/>
        <w:rPr>
          <w:i/>
          <w:lang w:val="en-US"/>
        </w:rPr>
      </w:pPr>
      <w:r>
        <w:rPr>
          <w:lang w:val="en-US"/>
        </w:rPr>
        <w:t xml:space="preserve">This work is still in progress, the results of Logistic regression on top of embedding is still pending. </w:t>
      </w:r>
      <w:r w:rsidR="006B2C80">
        <w:rPr>
          <w:lang w:val="en-US"/>
        </w:rPr>
        <w:t>Additionally,</w:t>
      </w:r>
      <w:r>
        <w:rPr>
          <w:lang w:val="en-US"/>
        </w:rPr>
        <w:t xml:space="preserve"> we need to use SCIKITOPT for Bayesian optimization for baseline models. An additional consideration for the use of Auto-Keras for model search.</w:t>
      </w:r>
    </w:p>
    <w:p w:rsidR="009359B9" w:rsidRPr="009359B9" w:rsidRDefault="009359B9" w:rsidP="006B2C80">
      <w:pPr>
        <w:pStyle w:val="Caption"/>
        <w:keepNext/>
        <w:spacing w:after="6pt"/>
      </w:pPr>
    </w:p>
    <w:p w:rsidR="006B2C80" w:rsidRPr="006B2C80" w:rsidRDefault="00783020" w:rsidP="006B2C80">
      <w:pPr>
        <w:pStyle w:val="tablehead"/>
      </w:pPr>
      <w:r>
        <w:t>results of Bayesian optimization</w:t>
      </w:r>
    </w:p>
    <w:tbl>
      <w:tblPr>
        <w:tblpPr w:leftFromText="180" w:rightFromText="180" w:vertAnchor="text" w:horzAnchor="margin" w:tblpY="-21"/>
        <w:tblW w:w="217.98%" w:type="pct"/>
        <w:tblLook w:firstRow="1" w:lastRow="0" w:firstColumn="1" w:lastColumn="0" w:noHBand="0" w:noVBand="1"/>
      </w:tblPr>
      <w:tblGrid>
        <w:gridCol w:w="1563"/>
        <w:gridCol w:w="984"/>
        <w:gridCol w:w="189"/>
        <w:gridCol w:w="356"/>
        <w:gridCol w:w="107"/>
        <w:gridCol w:w="236"/>
        <w:gridCol w:w="307"/>
        <w:gridCol w:w="73"/>
        <w:gridCol w:w="259"/>
        <w:gridCol w:w="659"/>
        <w:gridCol w:w="15"/>
        <w:gridCol w:w="506"/>
        <w:gridCol w:w="55"/>
        <w:gridCol w:w="582"/>
        <w:gridCol w:w="121"/>
        <w:gridCol w:w="658"/>
        <w:gridCol w:w="713"/>
        <w:gridCol w:w="809"/>
        <w:gridCol w:w="64"/>
        <w:gridCol w:w="510"/>
        <w:gridCol w:w="199"/>
        <w:gridCol w:w="717"/>
        <w:gridCol w:w="563"/>
      </w:tblGrid>
      <w:tr w:rsidR="00783020" w:rsidRPr="00783020" w:rsidTr="00783020">
        <w:trPr>
          <w:trHeight w:val="377"/>
        </w:trPr>
        <w:tc>
          <w:tcPr>
            <w:tcW w:w="33.52%" w:type="pct"/>
            <w:gridSpan w:val="6"/>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6.24%" w:type="pct"/>
            <w:gridSpan w:val="3"/>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6.58%" w:type="pct"/>
            <w:gridSpan w:val="2"/>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4.94%" w:type="pct"/>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6.22%" w:type="pct"/>
            <w:gridSpan w:val="2"/>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7.58%" w:type="pct"/>
            <w:gridSpan w:val="2"/>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p>
        </w:tc>
        <w:tc>
          <w:tcPr>
            <w:tcW w:w="22.4%" w:type="pct"/>
            <w:gridSpan w:val="5"/>
            <w:tcBorders>
              <w:top w:val="single" w:sz="4" w:space="0" w:color="auto"/>
              <w:start w:val="nil"/>
              <w:bottom w:val="single" w:sz="4" w:space="0" w:color="auto"/>
              <w:end w:val="nil"/>
            </w:tcBorders>
            <w:shd w:val="clear" w:color="auto" w:fill="auto"/>
            <w:noWrap/>
            <w:vAlign w:val="bottom"/>
          </w:tcPr>
          <w:p w:rsidR="00783020" w:rsidRPr="00783020" w:rsidRDefault="00783020" w:rsidP="00783020">
            <w:pPr>
              <w:pStyle w:val="tablecolhead"/>
            </w:pPr>
            <w:r w:rsidRPr="00783020">
              <w:t>Single Hospital Result</w:t>
            </w:r>
          </w:p>
        </w:tc>
        <w:tc>
          <w:tcPr>
            <w:tcW w:w="12.5%" w:type="pct"/>
            <w:gridSpan w:val="2"/>
            <w:tcBorders>
              <w:top w:val="single" w:sz="4" w:space="0" w:color="auto"/>
              <w:start w:val="nil"/>
              <w:bottom w:val="single" w:sz="4" w:space="0" w:color="auto"/>
              <w:end w:val="nil"/>
            </w:tcBorders>
            <w:shd w:val="clear" w:color="auto" w:fill="auto"/>
            <w:vAlign w:val="bottom"/>
          </w:tcPr>
          <w:p w:rsidR="00783020" w:rsidRPr="00783020" w:rsidRDefault="00783020" w:rsidP="00783020">
            <w:pPr>
              <w:pStyle w:val="tablecolhead"/>
            </w:pPr>
            <w:r w:rsidRPr="00783020">
              <w:t>Full Cohort Result</w:t>
            </w:r>
          </w:p>
        </w:tc>
      </w:tr>
      <w:tr w:rsidR="00783020" w:rsidRPr="00783020" w:rsidTr="00783020">
        <w:trPr>
          <w:trHeight w:val="179"/>
        </w:trPr>
        <w:tc>
          <w:tcPr>
            <w:tcW w:w="15.26%" w:type="pct"/>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Cohort</w:t>
            </w:r>
          </w:p>
        </w:tc>
        <w:tc>
          <w:tcPr>
            <w:tcW w:w="9.6%" w:type="pct"/>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Model</w:t>
            </w:r>
          </w:p>
        </w:tc>
        <w:tc>
          <w:tcPr>
            <w:tcW w:w="5.32%" w:type="pct"/>
            <w:gridSpan w:val="2"/>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Emb</w:t>
            </w:r>
          </w:p>
          <w:p w:rsidR="00783020" w:rsidRPr="00783020" w:rsidRDefault="00783020" w:rsidP="00783020">
            <w:pPr>
              <w:pStyle w:val="tablecolhead"/>
            </w:pPr>
            <w:r w:rsidRPr="00783020">
              <w:t>Size</w:t>
            </w:r>
          </w:p>
        </w:tc>
        <w:tc>
          <w:tcPr>
            <w:tcW w:w="7.06%" w:type="pct"/>
            <w:gridSpan w:val="4"/>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Hidden</w:t>
            </w:r>
          </w:p>
        </w:tc>
        <w:tc>
          <w:tcPr>
            <w:tcW w:w="8.96%" w:type="pct"/>
            <w:gridSpan w:val="2"/>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Optimizer</w:t>
            </w:r>
          </w:p>
        </w:tc>
        <w:tc>
          <w:tcPr>
            <w:tcW w:w="5.62%" w:type="pct"/>
            <w:gridSpan w:val="3"/>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LR</w:t>
            </w:r>
          </w:p>
        </w:tc>
        <w:tc>
          <w:tcPr>
            <w:tcW w:w="6.86%" w:type="pct"/>
            <w:gridSpan w:val="2"/>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L2</w:t>
            </w:r>
          </w:p>
        </w:tc>
        <w:tc>
          <w:tcPr>
            <w:tcW w:w="6.42%" w:type="pct"/>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EPs</w:t>
            </w:r>
          </w:p>
        </w:tc>
        <w:tc>
          <w:tcPr>
            <w:tcW w:w="6.96%" w:type="pct"/>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Valid</w:t>
            </w:r>
          </w:p>
          <w:p w:rsidR="00783020" w:rsidRPr="00783020" w:rsidRDefault="00783020" w:rsidP="00783020">
            <w:pPr>
              <w:pStyle w:val="tablecolhead"/>
            </w:pPr>
            <w:r w:rsidRPr="00783020">
              <w:t>AUC</w:t>
            </w:r>
          </w:p>
        </w:tc>
        <w:tc>
          <w:tcPr>
            <w:tcW w:w="7.9%" w:type="pct"/>
            <w:tcBorders>
              <w:top w:val="single" w:sz="4" w:space="0" w:color="auto"/>
              <w:start w:val="nil"/>
              <w:bottom w:val="single" w:sz="4" w:space="0" w:color="auto"/>
              <w:end w:val="nil"/>
            </w:tcBorders>
            <w:shd w:val="clear" w:color="auto" w:fill="auto"/>
            <w:noWrap/>
            <w:vAlign w:val="bottom"/>
            <w:hideMark/>
          </w:tcPr>
          <w:p w:rsidR="00783020" w:rsidRPr="00783020" w:rsidRDefault="00783020" w:rsidP="00783020">
            <w:pPr>
              <w:pStyle w:val="tablecolhead"/>
            </w:pPr>
            <w:r w:rsidRPr="00783020">
              <w:t>@Epoch</w:t>
            </w:r>
          </w:p>
        </w:tc>
        <w:tc>
          <w:tcPr>
            <w:tcW w:w="7.54%" w:type="pct"/>
            <w:gridSpan w:val="3"/>
            <w:tcBorders>
              <w:top w:val="single" w:sz="4" w:space="0" w:color="auto"/>
              <w:start w:val="nil"/>
              <w:bottom w:val="single" w:sz="4" w:space="0" w:color="auto"/>
              <w:end w:val="nil"/>
            </w:tcBorders>
            <w:vAlign w:val="bottom"/>
          </w:tcPr>
          <w:p w:rsidR="00783020" w:rsidRPr="00783020" w:rsidRDefault="00783020" w:rsidP="00783020">
            <w:pPr>
              <w:pStyle w:val="tablecolhead"/>
            </w:pPr>
            <w:r w:rsidRPr="00783020">
              <w:t>Test</w:t>
            </w:r>
          </w:p>
          <w:p w:rsidR="00783020" w:rsidRPr="00783020" w:rsidRDefault="00783020" w:rsidP="00783020">
            <w:pPr>
              <w:pStyle w:val="tablecolhead"/>
            </w:pPr>
            <w:r w:rsidRPr="00783020">
              <w:t>AUC</w:t>
            </w:r>
          </w:p>
        </w:tc>
        <w:tc>
          <w:tcPr>
            <w:tcW w:w="7.0%" w:type="pct"/>
            <w:tcBorders>
              <w:top w:val="single" w:sz="4" w:space="0" w:color="auto"/>
              <w:start w:val="nil"/>
              <w:bottom w:val="single" w:sz="4" w:space="0" w:color="auto"/>
              <w:end w:val="nil"/>
            </w:tcBorders>
            <w:vAlign w:val="bottom"/>
          </w:tcPr>
          <w:p w:rsidR="00783020" w:rsidRPr="00783020" w:rsidRDefault="00783020" w:rsidP="00783020">
            <w:pPr>
              <w:pStyle w:val="tablecolhead"/>
            </w:pPr>
            <w:r w:rsidRPr="00783020">
              <w:t>Valid</w:t>
            </w:r>
          </w:p>
          <w:p w:rsidR="00783020" w:rsidRPr="00783020" w:rsidRDefault="00783020" w:rsidP="00783020">
            <w:pPr>
              <w:pStyle w:val="tablecolhead"/>
            </w:pPr>
            <w:r w:rsidRPr="00783020">
              <w:t>AUC</w:t>
            </w:r>
          </w:p>
        </w:tc>
        <w:tc>
          <w:tcPr>
            <w:tcW w:w="5.5%" w:type="pct"/>
            <w:tcBorders>
              <w:top w:val="single" w:sz="4" w:space="0" w:color="auto"/>
              <w:start w:val="nil"/>
              <w:bottom w:val="single" w:sz="4" w:space="0" w:color="auto"/>
              <w:end w:val="nil"/>
            </w:tcBorders>
            <w:vAlign w:val="bottom"/>
          </w:tcPr>
          <w:p w:rsidR="00783020" w:rsidRPr="00783020" w:rsidRDefault="00783020" w:rsidP="00783020">
            <w:pPr>
              <w:pStyle w:val="tablecolhead"/>
            </w:pPr>
            <w:r w:rsidRPr="00783020">
              <w:t>Test</w:t>
            </w:r>
          </w:p>
          <w:p w:rsidR="00783020" w:rsidRPr="00783020" w:rsidRDefault="00783020" w:rsidP="00783020">
            <w:pPr>
              <w:pStyle w:val="tablecolhead"/>
            </w:pPr>
            <w:r w:rsidRPr="00783020">
              <w:t>AUC</w:t>
            </w:r>
          </w:p>
        </w:tc>
      </w:tr>
      <w:tr w:rsidR="00783020" w:rsidRPr="00783020" w:rsidTr="00783020">
        <w:trPr>
          <w:trHeight w:val="288"/>
        </w:trPr>
        <w:tc>
          <w:tcPr>
            <w:tcW w:w="15.26%" w:type="pct"/>
            <w:vMerge w:val="restart"/>
            <w:tcBorders>
              <w:top w:val="single" w:sz="4" w:space="0" w:color="auto"/>
              <w:start w:val="nil"/>
            </w:tcBorders>
            <w:shd w:val="clear" w:color="auto" w:fill="auto"/>
            <w:noWrap/>
            <w:hideMark/>
          </w:tcPr>
          <w:p w:rsidR="00783020" w:rsidRDefault="00783020" w:rsidP="00783020">
            <w:pPr>
              <w:pStyle w:val="tablecolhead"/>
            </w:pPr>
            <w:r w:rsidRPr="00783020">
              <w:t>Heart Failure</w:t>
            </w:r>
          </w:p>
          <w:p w:rsidR="00783020" w:rsidRPr="00783020" w:rsidRDefault="00783020" w:rsidP="00783020">
            <w:pPr>
              <w:pStyle w:val="tablecolhead"/>
            </w:pPr>
            <w:r w:rsidRPr="00783020">
              <w:t xml:space="preserve"> Prediction</w:t>
            </w:r>
          </w:p>
        </w:tc>
        <w:tc>
          <w:tcPr>
            <w:tcW w:w="11.44%" w:type="pct"/>
            <w:gridSpan w:val="2"/>
            <w:tcBorders>
              <w:top w:val="single" w:sz="4" w:space="0" w:color="auto"/>
            </w:tcBorders>
            <w:shd w:val="clear" w:color="auto" w:fill="auto"/>
            <w:noWrap/>
            <w:vAlign w:val="bottom"/>
            <w:hideMark/>
          </w:tcPr>
          <w:p w:rsidR="00783020" w:rsidRPr="00783020" w:rsidRDefault="00783020" w:rsidP="00783020">
            <w:pPr>
              <w:pStyle w:val="tablecolhead"/>
            </w:pPr>
            <w:r w:rsidRPr="00783020">
              <w:t>GRU</w:t>
            </w:r>
          </w:p>
        </w:tc>
        <w:tc>
          <w:tcPr>
            <w:tcW w:w="4.52%"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256</w:t>
            </w:r>
          </w:p>
        </w:tc>
        <w:tc>
          <w:tcPr>
            <w:tcW w:w="5.3%"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9.68%" w:type="pct"/>
            <w:gridSpan w:val="3"/>
            <w:tcBorders>
              <w:top w:val="single" w:sz="4" w:space="0" w:color="auto"/>
            </w:tcBorders>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0.05</w:t>
            </w:r>
          </w:p>
        </w:tc>
        <w:tc>
          <w:tcPr>
            <w:tcW w:w="6.86%"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0.0003</w:t>
            </w:r>
          </w:p>
        </w:tc>
        <w:tc>
          <w:tcPr>
            <w:tcW w:w="6.42%" w:type="pct"/>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1e-06</w:t>
            </w:r>
          </w:p>
        </w:tc>
        <w:tc>
          <w:tcPr>
            <w:tcW w:w="6.96%" w:type="pct"/>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83.4</w:t>
            </w:r>
          </w:p>
        </w:tc>
        <w:tc>
          <w:tcPr>
            <w:tcW w:w="8.52%"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8</w:t>
            </w:r>
          </w:p>
        </w:tc>
        <w:tc>
          <w:tcPr>
            <w:tcW w:w="4.98%" w:type="pct"/>
            <w:tcBorders>
              <w:top w:val="single" w:sz="4" w:space="0" w:color="auto"/>
            </w:tcBorders>
            <w:vAlign w:val="bottom"/>
          </w:tcPr>
          <w:p w:rsidR="00783020" w:rsidRPr="00783020" w:rsidRDefault="00783020" w:rsidP="00783020">
            <w:pPr>
              <w:pStyle w:val="tablecopy"/>
              <w:jc w:val="end"/>
            </w:pPr>
            <w:r w:rsidRPr="00783020">
              <w:t>84.8</w:t>
            </w:r>
          </w:p>
        </w:tc>
        <w:tc>
          <w:tcPr>
            <w:tcW w:w="8.94%" w:type="pct"/>
            <w:gridSpan w:val="2"/>
            <w:tcBorders>
              <w:top w:val="single" w:sz="4" w:space="0" w:color="auto"/>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82.2</w:t>
            </w:r>
          </w:p>
        </w:tc>
        <w:tc>
          <w:tcPr>
            <w:tcW w:w="5.5%" w:type="pct"/>
            <w:tcBorders>
              <w:top w:val="single" w:sz="4" w:space="0" w:color="auto"/>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82.3</w:t>
            </w:r>
          </w:p>
        </w:tc>
      </w:tr>
      <w:tr w:rsidR="00783020" w:rsidRPr="00783020" w:rsidTr="00783020">
        <w:trPr>
          <w:trHeight w:val="288"/>
        </w:trPr>
        <w:tc>
          <w:tcPr>
            <w:tcW w:w="15.26%" w:type="pct"/>
            <w:vMerge/>
            <w:tcBorders>
              <w:start w:val="nil"/>
            </w:tcBorders>
            <w:shd w:val="clear" w:color="auto" w:fill="auto"/>
            <w:noWrap/>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Bi-GRU</w:t>
            </w:r>
          </w:p>
        </w:tc>
        <w:tc>
          <w:tcPr>
            <w:tcW w:w="4.52%" w:type="pct"/>
            <w:gridSpan w:val="2"/>
            <w:shd w:val="clear" w:color="auto" w:fill="auto"/>
            <w:noWrap/>
            <w:vAlign w:val="bottom"/>
            <w:hideMark/>
          </w:tcPr>
          <w:p w:rsidR="00783020" w:rsidRPr="00783020" w:rsidRDefault="00783020" w:rsidP="00783020">
            <w:pPr>
              <w:pStyle w:val="tablecopy"/>
              <w:jc w:val="end"/>
            </w:pPr>
            <w:r w:rsidRPr="00783020">
              <w:t>256</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Adamax</w:t>
            </w:r>
          </w:p>
        </w:tc>
        <w:tc>
          <w:tcPr>
            <w:tcW w:w="5.62%" w:type="pct"/>
            <w:gridSpan w:val="3"/>
            <w:shd w:val="clear" w:color="auto" w:fill="auto"/>
            <w:noWrap/>
            <w:vAlign w:val="bottom"/>
            <w:hideMark/>
          </w:tcPr>
          <w:p w:rsidR="00783020" w:rsidRPr="00783020" w:rsidRDefault="00783020" w:rsidP="00783020">
            <w:pPr>
              <w:pStyle w:val="tablecopy"/>
              <w:jc w:val="end"/>
            </w:pPr>
            <w:r w:rsidRPr="00783020">
              <w:t>0.008</w:t>
            </w:r>
          </w:p>
        </w:tc>
        <w:tc>
          <w:tcPr>
            <w:tcW w:w="6.86%" w:type="pct"/>
            <w:gridSpan w:val="2"/>
            <w:shd w:val="clear" w:color="auto" w:fill="auto"/>
            <w:noWrap/>
            <w:vAlign w:val="bottom"/>
            <w:hideMark/>
          </w:tcPr>
          <w:p w:rsidR="00783020" w:rsidRPr="00783020" w:rsidRDefault="00783020" w:rsidP="00783020">
            <w:pPr>
              <w:pStyle w:val="tablecopy"/>
              <w:jc w:val="end"/>
            </w:pPr>
            <w:r w:rsidRPr="00783020">
              <w:t>0.0002</w:t>
            </w:r>
          </w:p>
        </w:tc>
        <w:tc>
          <w:tcPr>
            <w:tcW w:w="6.42%" w:type="pct"/>
            <w:shd w:val="clear" w:color="auto" w:fill="auto"/>
            <w:noWrap/>
            <w:vAlign w:val="bottom"/>
            <w:hideMark/>
          </w:tcPr>
          <w:p w:rsidR="00783020" w:rsidRPr="00783020" w:rsidRDefault="00783020" w:rsidP="00783020">
            <w:pPr>
              <w:pStyle w:val="tablecopy"/>
              <w:jc w:val="end"/>
            </w:pPr>
            <w:r w:rsidRPr="00783020">
              <w:t>0.0001</w:t>
            </w:r>
          </w:p>
        </w:tc>
        <w:tc>
          <w:tcPr>
            <w:tcW w:w="6.96%" w:type="pct"/>
            <w:shd w:val="clear" w:color="auto" w:fill="auto"/>
            <w:noWrap/>
            <w:vAlign w:val="bottom"/>
            <w:hideMark/>
          </w:tcPr>
          <w:p w:rsidR="00783020" w:rsidRPr="00783020" w:rsidRDefault="00783020" w:rsidP="00783020">
            <w:pPr>
              <w:pStyle w:val="tablecopy"/>
              <w:jc w:val="end"/>
            </w:pPr>
            <w:r w:rsidRPr="00783020">
              <w:t>83.4</w:t>
            </w:r>
          </w:p>
        </w:tc>
        <w:tc>
          <w:tcPr>
            <w:tcW w:w="8.52%" w:type="pct"/>
            <w:gridSpan w:val="2"/>
            <w:shd w:val="clear" w:color="auto" w:fill="auto"/>
            <w:noWrap/>
            <w:vAlign w:val="bottom"/>
            <w:hideMark/>
          </w:tcPr>
          <w:p w:rsidR="00783020" w:rsidRPr="00783020" w:rsidRDefault="00783020" w:rsidP="00783020">
            <w:pPr>
              <w:pStyle w:val="tablecopy"/>
              <w:jc w:val="end"/>
            </w:pPr>
            <w:r w:rsidRPr="00783020">
              <w:t>4</w:t>
            </w:r>
          </w:p>
        </w:tc>
        <w:tc>
          <w:tcPr>
            <w:tcW w:w="4.98%" w:type="pct"/>
            <w:vAlign w:val="bottom"/>
          </w:tcPr>
          <w:p w:rsidR="00783020" w:rsidRPr="00783020" w:rsidRDefault="00783020" w:rsidP="00783020">
            <w:pPr>
              <w:pStyle w:val="tablecopy"/>
              <w:jc w:val="end"/>
            </w:pPr>
            <w:r w:rsidRPr="00783020">
              <w:t>84.5</w:t>
            </w:r>
          </w:p>
        </w:tc>
        <w:tc>
          <w:tcPr>
            <w:tcW w:w="8.94%" w:type="pct"/>
            <w:gridSpan w:val="2"/>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82.0</w:t>
            </w:r>
          </w:p>
        </w:tc>
        <w:tc>
          <w:tcPr>
            <w:tcW w:w="5.5%" w:type="pct"/>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82.1</w:t>
            </w:r>
          </w:p>
        </w:tc>
      </w:tr>
      <w:tr w:rsidR="00783020" w:rsidRPr="00783020" w:rsidTr="00783020">
        <w:trPr>
          <w:trHeight w:val="288"/>
        </w:trPr>
        <w:tc>
          <w:tcPr>
            <w:tcW w:w="15.26%" w:type="pct"/>
            <w:vMerge/>
            <w:tcBorders>
              <w:start w:val="nil"/>
            </w:tcBorders>
            <w:shd w:val="clear" w:color="auto" w:fill="auto"/>
            <w:noWrap/>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Bi-LSTM</w:t>
            </w:r>
          </w:p>
        </w:tc>
        <w:tc>
          <w:tcPr>
            <w:tcW w:w="4.52%" w:type="pct"/>
            <w:gridSpan w:val="2"/>
            <w:shd w:val="clear" w:color="auto" w:fill="auto"/>
            <w:noWrap/>
            <w:vAlign w:val="bottom"/>
            <w:hideMark/>
          </w:tcPr>
          <w:p w:rsidR="00783020" w:rsidRPr="00783020" w:rsidRDefault="00783020" w:rsidP="00783020">
            <w:pPr>
              <w:pStyle w:val="tablecopy"/>
              <w:jc w:val="end"/>
            </w:pPr>
            <w:r w:rsidRPr="00783020">
              <w:t>256</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shd w:val="clear" w:color="auto" w:fill="auto"/>
            <w:noWrap/>
            <w:vAlign w:val="bottom"/>
            <w:hideMark/>
          </w:tcPr>
          <w:p w:rsidR="00783020" w:rsidRPr="00783020" w:rsidRDefault="00783020" w:rsidP="00783020">
            <w:pPr>
              <w:pStyle w:val="tablecopy"/>
              <w:jc w:val="end"/>
            </w:pPr>
            <w:r w:rsidRPr="00783020">
              <w:t>0.1</w:t>
            </w:r>
          </w:p>
        </w:tc>
        <w:tc>
          <w:tcPr>
            <w:tcW w:w="6.86%" w:type="pct"/>
            <w:gridSpan w:val="2"/>
            <w:shd w:val="clear" w:color="auto" w:fill="auto"/>
            <w:noWrap/>
            <w:vAlign w:val="bottom"/>
            <w:hideMark/>
          </w:tcPr>
          <w:p w:rsidR="00783020" w:rsidRPr="00783020" w:rsidRDefault="00783020" w:rsidP="00783020">
            <w:pPr>
              <w:pStyle w:val="tablecopy"/>
              <w:jc w:val="end"/>
            </w:pPr>
            <w:r w:rsidRPr="00783020">
              <w:t>0.0001</w:t>
            </w:r>
          </w:p>
        </w:tc>
        <w:tc>
          <w:tcPr>
            <w:tcW w:w="6.42%" w:type="pct"/>
            <w:shd w:val="clear" w:color="auto" w:fill="auto"/>
            <w:noWrap/>
            <w:vAlign w:val="bottom"/>
            <w:hideMark/>
          </w:tcPr>
          <w:p w:rsidR="00783020" w:rsidRPr="00783020" w:rsidRDefault="00783020" w:rsidP="00783020">
            <w:pPr>
              <w:pStyle w:val="tablecopy"/>
              <w:jc w:val="end"/>
            </w:pPr>
            <w:r w:rsidRPr="00783020">
              <w:t>0.0001</w:t>
            </w:r>
          </w:p>
        </w:tc>
        <w:tc>
          <w:tcPr>
            <w:tcW w:w="6.96%" w:type="pct"/>
            <w:shd w:val="clear" w:color="auto" w:fill="auto"/>
            <w:noWrap/>
            <w:vAlign w:val="bottom"/>
            <w:hideMark/>
          </w:tcPr>
          <w:p w:rsidR="00783020" w:rsidRPr="00783020" w:rsidRDefault="00783020" w:rsidP="00783020">
            <w:pPr>
              <w:pStyle w:val="tablecopy"/>
              <w:jc w:val="end"/>
            </w:pPr>
            <w:r w:rsidRPr="00783020">
              <w:t>83.6</w:t>
            </w:r>
          </w:p>
        </w:tc>
        <w:tc>
          <w:tcPr>
            <w:tcW w:w="8.52%" w:type="pct"/>
            <w:gridSpan w:val="2"/>
            <w:shd w:val="clear" w:color="auto" w:fill="auto"/>
            <w:noWrap/>
            <w:vAlign w:val="bottom"/>
            <w:hideMark/>
          </w:tcPr>
          <w:p w:rsidR="00783020" w:rsidRPr="00783020" w:rsidRDefault="00783020" w:rsidP="00783020">
            <w:pPr>
              <w:pStyle w:val="tablecopy"/>
              <w:jc w:val="end"/>
            </w:pPr>
            <w:r w:rsidRPr="00783020">
              <w:t>5</w:t>
            </w:r>
          </w:p>
        </w:tc>
        <w:tc>
          <w:tcPr>
            <w:tcW w:w="4.98%" w:type="pct"/>
            <w:vAlign w:val="bottom"/>
          </w:tcPr>
          <w:p w:rsidR="00783020" w:rsidRPr="00783020" w:rsidRDefault="00783020" w:rsidP="00783020">
            <w:pPr>
              <w:pStyle w:val="tablecopy"/>
              <w:jc w:val="end"/>
            </w:pPr>
            <w:r w:rsidRPr="00783020">
              <w:t>84.4</w:t>
            </w:r>
          </w:p>
        </w:tc>
        <w:tc>
          <w:tcPr>
            <w:tcW w:w="8.94%" w:type="pct"/>
            <w:gridSpan w:val="2"/>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82.2</w:t>
            </w:r>
          </w:p>
        </w:tc>
        <w:tc>
          <w:tcPr>
            <w:tcW w:w="5.5%" w:type="pct"/>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82.3</w:t>
            </w:r>
          </w:p>
        </w:tc>
      </w:tr>
      <w:tr w:rsidR="00783020" w:rsidRPr="00783020" w:rsidTr="00783020">
        <w:trPr>
          <w:trHeight w:val="288"/>
        </w:trPr>
        <w:tc>
          <w:tcPr>
            <w:tcW w:w="15.26%" w:type="pct"/>
            <w:vMerge/>
            <w:tcBorders>
              <w:start w:val="nil"/>
            </w:tcBorders>
            <w:shd w:val="clear" w:color="auto" w:fill="auto"/>
            <w:noWrap/>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LSTM</w:t>
            </w:r>
          </w:p>
        </w:tc>
        <w:tc>
          <w:tcPr>
            <w:tcW w:w="4.52%" w:type="pct"/>
            <w:gridSpan w:val="2"/>
            <w:shd w:val="clear" w:color="auto" w:fill="auto"/>
            <w:noWrap/>
            <w:vAlign w:val="bottom"/>
            <w:hideMark/>
          </w:tcPr>
          <w:p w:rsidR="00783020" w:rsidRPr="00783020" w:rsidRDefault="00783020" w:rsidP="00783020">
            <w:pPr>
              <w:pStyle w:val="tablecopy"/>
              <w:jc w:val="end"/>
            </w:pPr>
            <w:r w:rsidRPr="00783020">
              <w:t>256</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shd w:val="clear" w:color="auto" w:fill="auto"/>
            <w:noWrap/>
            <w:vAlign w:val="bottom"/>
            <w:hideMark/>
          </w:tcPr>
          <w:p w:rsidR="00783020" w:rsidRPr="00783020" w:rsidRDefault="00783020" w:rsidP="00783020">
            <w:pPr>
              <w:pStyle w:val="tablecopy"/>
              <w:jc w:val="end"/>
            </w:pPr>
            <w:r w:rsidRPr="00783020">
              <w:t>0.1</w:t>
            </w:r>
          </w:p>
        </w:tc>
        <w:tc>
          <w:tcPr>
            <w:tcW w:w="6.86%" w:type="pct"/>
            <w:gridSpan w:val="2"/>
            <w:shd w:val="clear" w:color="auto" w:fill="auto"/>
            <w:noWrap/>
            <w:vAlign w:val="bottom"/>
            <w:hideMark/>
          </w:tcPr>
          <w:p w:rsidR="00783020" w:rsidRPr="00783020" w:rsidRDefault="00783020" w:rsidP="00783020">
            <w:pPr>
              <w:pStyle w:val="tablecopy"/>
              <w:jc w:val="end"/>
            </w:pPr>
            <w:r w:rsidRPr="00783020">
              <w:t>0.0001</w:t>
            </w:r>
          </w:p>
        </w:tc>
        <w:tc>
          <w:tcPr>
            <w:tcW w:w="6.42%" w:type="pct"/>
            <w:shd w:val="clear" w:color="auto" w:fill="auto"/>
            <w:noWrap/>
            <w:vAlign w:val="bottom"/>
            <w:hideMark/>
          </w:tcPr>
          <w:p w:rsidR="00783020" w:rsidRPr="00783020" w:rsidRDefault="00783020" w:rsidP="00783020">
            <w:pPr>
              <w:pStyle w:val="tablecopy"/>
              <w:jc w:val="end"/>
            </w:pPr>
            <w:r w:rsidRPr="00783020">
              <w:t>1e-06</w:t>
            </w:r>
          </w:p>
        </w:tc>
        <w:tc>
          <w:tcPr>
            <w:tcW w:w="6.96%" w:type="pct"/>
            <w:shd w:val="clear" w:color="auto" w:fill="auto"/>
            <w:noWrap/>
            <w:vAlign w:val="bottom"/>
            <w:hideMark/>
          </w:tcPr>
          <w:p w:rsidR="00783020" w:rsidRPr="00783020" w:rsidRDefault="00783020" w:rsidP="00783020">
            <w:pPr>
              <w:pStyle w:val="tablecopy"/>
              <w:jc w:val="end"/>
            </w:pPr>
            <w:r w:rsidRPr="00783020">
              <w:t>83.2</w:t>
            </w:r>
          </w:p>
        </w:tc>
        <w:tc>
          <w:tcPr>
            <w:tcW w:w="8.52%" w:type="pct"/>
            <w:gridSpan w:val="2"/>
            <w:shd w:val="clear" w:color="auto" w:fill="auto"/>
            <w:noWrap/>
            <w:vAlign w:val="bottom"/>
            <w:hideMark/>
          </w:tcPr>
          <w:p w:rsidR="00783020" w:rsidRPr="00783020" w:rsidRDefault="00783020" w:rsidP="00783020">
            <w:pPr>
              <w:pStyle w:val="tablecopy"/>
              <w:jc w:val="end"/>
            </w:pPr>
            <w:r w:rsidRPr="00783020">
              <w:t>6</w:t>
            </w:r>
          </w:p>
        </w:tc>
        <w:tc>
          <w:tcPr>
            <w:tcW w:w="4.98%" w:type="pct"/>
            <w:vAlign w:val="bottom"/>
          </w:tcPr>
          <w:p w:rsidR="00783020" w:rsidRPr="00783020" w:rsidRDefault="00783020" w:rsidP="00783020">
            <w:pPr>
              <w:pStyle w:val="tablecopy"/>
              <w:jc w:val="end"/>
            </w:pPr>
            <w:r w:rsidRPr="00783020">
              <w:t>83.9</w:t>
            </w:r>
          </w:p>
        </w:tc>
        <w:tc>
          <w:tcPr>
            <w:tcW w:w="8.94%" w:type="pct"/>
            <w:gridSpan w:val="2"/>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82.1</w:t>
            </w:r>
          </w:p>
        </w:tc>
        <w:tc>
          <w:tcPr>
            <w:tcW w:w="5.5%" w:type="pct"/>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82.2</w:t>
            </w:r>
          </w:p>
        </w:tc>
      </w:tr>
      <w:tr w:rsidR="00783020" w:rsidRPr="00783020" w:rsidTr="00783020">
        <w:trPr>
          <w:trHeight w:val="288"/>
        </w:trPr>
        <w:tc>
          <w:tcPr>
            <w:tcW w:w="15.26%" w:type="pct"/>
            <w:vMerge/>
            <w:tcBorders>
              <w:start w:val="nil"/>
            </w:tcBorders>
            <w:shd w:val="clear" w:color="auto" w:fill="auto"/>
            <w:noWrap/>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D-LSTM (2L)</w:t>
            </w:r>
          </w:p>
        </w:tc>
        <w:tc>
          <w:tcPr>
            <w:tcW w:w="4.52%" w:type="pct"/>
            <w:gridSpan w:val="2"/>
            <w:shd w:val="clear" w:color="auto" w:fill="auto"/>
            <w:noWrap/>
            <w:vAlign w:val="bottom"/>
            <w:hideMark/>
          </w:tcPr>
          <w:p w:rsidR="00783020" w:rsidRPr="00783020" w:rsidRDefault="00783020" w:rsidP="00783020">
            <w:pPr>
              <w:pStyle w:val="tablecopy"/>
              <w:jc w:val="end"/>
            </w:pPr>
            <w:r w:rsidRPr="00783020">
              <w:t>64</w:t>
            </w:r>
          </w:p>
        </w:tc>
        <w:tc>
          <w:tcPr>
            <w:tcW w:w="5.3%" w:type="pct"/>
            <w:gridSpan w:val="2"/>
            <w:shd w:val="clear" w:color="auto" w:fill="auto"/>
            <w:noWrap/>
            <w:vAlign w:val="bottom"/>
            <w:hideMark/>
          </w:tcPr>
          <w:p w:rsidR="00783020" w:rsidRPr="00783020" w:rsidRDefault="00783020" w:rsidP="00783020">
            <w:pPr>
              <w:pStyle w:val="tablecopy"/>
              <w:jc w:val="end"/>
            </w:pPr>
            <w:r w:rsidRPr="00783020">
              <w:t>32</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Adam</w:t>
            </w:r>
          </w:p>
        </w:tc>
        <w:tc>
          <w:tcPr>
            <w:tcW w:w="5.62%" w:type="pct"/>
            <w:gridSpan w:val="3"/>
            <w:shd w:val="clear" w:color="auto" w:fill="auto"/>
            <w:noWrap/>
            <w:vAlign w:val="bottom"/>
            <w:hideMark/>
          </w:tcPr>
          <w:p w:rsidR="00783020" w:rsidRPr="00783020" w:rsidRDefault="00783020" w:rsidP="00783020">
            <w:pPr>
              <w:pStyle w:val="tablecopy"/>
              <w:jc w:val="end"/>
            </w:pPr>
            <w:r w:rsidRPr="00783020">
              <w:t>0.002</w:t>
            </w:r>
          </w:p>
        </w:tc>
        <w:tc>
          <w:tcPr>
            <w:tcW w:w="6.86%" w:type="pct"/>
            <w:gridSpan w:val="2"/>
            <w:shd w:val="clear" w:color="auto" w:fill="auto"/>
            <w:noWrap/>
            <w:vAlign w:val="bottom"/>
            <w:hideMark/>
          </w:tcPr>
          <w:p w:rsidR="00783020" w:rsidRPr="00783020" w:rsidRDefault="00783020" w:rsidP="00783020">
            <w:pPr>
              <w:pStyle w:val="tablecopy"/>
              <w:jc w:val="end"/>
            </w:pPr>
            <w:r w:rsidRPr="00783020">
              <w:t>0.0003</w:t>
            </w:r>
          </w:p>
        </w:tc>
        <w:tc>
          <w:tcPr>
            <w:tcW w:w="6.42%" w:type="pct"/>
            <w:shd w:val="clear" w:color="auto" w:fill="auto"/>
            <w:noWrap/>
            <w:vAlign w:val="bottom"/>
            <w:hideMark/>
          </w:tcPr>
          <w:p w:rsidR="00783020" w:rsidRPr="00783020" w:rsidRDefault="00783020" w:rsidP="00783020">
            <w:pPr>
              <w:pStyle w:val="tablecopy"/>
              <w:jc w:val="end"/>
            </w:pPr>
            <w:r w:rsidRPr="00783020">
              <w:t>1e-05</w:t>
            </w:r>
          </w:p>
        </w:tc>
        <w:tc>
          <w:tcPr>
            <w:tcW w:w="6.96%" w:type="pct"/>
            <w:shd w:val="clear" w:color="auto" w:fill="auto"/>
            <w:noWrap/>
            <w:vAlign w:val="bottom"/>
            <w:hideMark/>
          </w:tcPr>
          <w:p w:rsidR="00783020" w:rsidRPr="00783020" w:rsidRDefault="00783020" w:rsidP="00783020">
            <w:pPr>
              <w:pStyle w:val="tablecopy"/>
              <w:jc w:val="end"/>
            </w:pPr>
            <w:r w:rsidRPr="00783020">
              <w:t>82.7</w:t>
            </w:r>
          </w:p>
        </w:tc>
        <w:tc>
          <w:tcPr>
            <w:tcW w:w="8.52%" w:type="pct"/>
            <w:gridSpan w:val="2"/>
            <w:shd w:val="clear" w:color="auto" w:fill="auto"/>
            <w:noWrap/>
            <w:vAlign w:val="bottom"/>
            <w:hideMark/>
          </w:tcPr>
          <w:p w:rsidR="00783020" w:rsidRPr="00783020" w:rsidRDefault="00783020" w:rsidP="00783020">
            <w:pPr>
              <w:pStyle w:val="tablecopy"/>
              <w:jc w:val="end"/>
            </w:pPr>
            <w:r w:rsidRPr="00783020">
              <w:t>11</w:t>
            </w:r>
          </w:p>
        </w:tc>
        <w:tc>
          <w:tcPr>
            <w:tcW w:w="4.98%" w:type="pct"/>
            <w:vAlign w:val="bottom"/>
          </w:tcPr>
          <w:p w:rsidR="00783020" w:rsidRPr="00783020" w:rsidRDefault="00783020" w:rsidP="00783020">
            <w:pPr>
              <w:pStyle w:val="tablecopy"/>
              <w:jc w:val="end"/>
            </w:pPr>
            <w:r w:rsidRPr="00783020">
              <w:t>83.3</w:t>
            </w:r>
          </w:p>
        </w:tc>
        <w:tc>
          <w:tcPr>
            <w:tcW w:w="8.94%" w:type="pct"/>
            <w:gridSpan w:val="2"/>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81.7</w:t>
            </w:r>
          </w:p>
        </w:tc>
        <w:tc>
          <w:tcPr>
            <w:tcW w:w="5.5%" w:type="pct"/>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81.8</w:t>
            </w:r>
          </w:p>
        </w:tc>
      </w:tr>
      <w:tr w:rsidR="00783020" w:rsidRPr="00783020" w:rsidTr="00783020">
        <w:trPr>
          <w:trHeight w:val="288"/>
        </w:trPr>
        <w:tc>
          <w:tcPr>
            <w:tcW w:w="15.26%" w:type="pct"/>
            <w:vMerge/>
            <w:tcBorders>
              <w:start w:val="nil"/>
            </w:tcBorders>
            <w:shd w:val="clear" w:color="auto" w:fill="auto"/>
            <w:noWrap/>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D-GRU (2L)</w:t>
            </w:r>
          </w:p>
        </w:tc>
        <w:tc>
          <w:tcPr>
            <w:tcW w:w="4.52%" w:type="pct"/>
            <w:gridSpan w:val="2"/>
            <w:shd w:val="clear" w:color="auto" w:fill="auto"/>
            <w:noWrap/>
            <w:vAlign w:val="bottom"/>
            <w:hideMark/>
          </w:tcPr>
          <w:p w:rsidR="00783020" w:rsidRPr="00783020" w:rsidRDefault="00783020" w:rsidP="00783020">
            <w:pPr>
              <w:pStyle w:val="tablecopy"/>
              <w:jc w:val="end"/>
            </w:pPr>
            <w:r w:rsidRPr="00783020">
              <w:t>64</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shd w:val="clear" w:color="auto" w:fill="auto"/>
            <w:noWrap/>
            <w:vAlign w:val="bottom"/>
            <w:hideMark/>
          </w:tcPr>
          <w:p w:rsidR="00783020" w:rsidRPr="00783020" w:rsidRDefault="00783020" w:rsidP="00783020">
            <w:pPr>
              <w:pStyle w:val="tablecopy"/>
              <w:jc w:val="end"/>
            </w:pPr>
            <w:r w:rsidRPr="00783020">
              <w:t>0.025</w:t>
            </w:r>
          </w:p>
        </w:tc>
        <w:tc>
          <w:tcPr>
            <w:tcW w:w="6.86%" w:type="pct"/>
            <w:gridSpan w:val="2"/>
            <w:shd w:val="clear" w:color="auto" w:fill="auto"/>
            <w:noWrap/>
            <w:vAlign w:val="bottom"/>
            <w:hideMark/>
          </w:tcPr>
          <w:p w:rsidR="00783020" w:rsidRPr="00783020" w:rsidRDefault="00783020" w:rsidP="00783020">
            <w:pPr>
              <w:pStyle w:val="tablecopy"/>
              <w:jc w:val="end"/>
            </w:pPr>
            <w:r w:rsidRPr="00783020">
              <w:t>2.4e-04</w:t>
            </w:r>
          </w:p>
        </w:tc>
        <w:tc>
          <w:tcPr>
            <w:tcW w:w="6.42%" w:type="pct"/>
            <w:shd w:val="clear" w:color="auto" w:fill="auto"/>
            <w:noWrap/>
            <w:vAlign w:val="bottom"/>
            <w:hideMark/>
          </w:tcPr>
          <w:p w:rsidR="00783020" w:rsidRPr="00783020" w:rsidRDefault="00783020" w:rsidP="00783020">
            <w:pPr>
              <w:pStyle w:val="tablecopy"/>
              <w:jc w:val="end"/>
            </w:pPr>
            <w:r w:rsidRPr="00783020">
              <w:t>1e-05</w:t>
            </w:r>
          </w:p>
        </w:tc>
        <w:tc>
          <w:tcPr>
            <w:tcW w:w="6.96%" w:type="pct"/>
            <w:shd w:val="clear" w:color="auto" w:fill="auto"/>
            <w:noWrap/>
            <w:vAlign w:val="bottom"/>
            <w:hideMark/>
          </w:tcPr>
          <w:p w:rsidR="00783020" w:rsidRPr="00783020" w:rsidRDefault="00783020" w:rsidP="00783020">
            <w:pPr>
              <w:pStyle w:val="tablecopy"/>
              <w:jc w:val="end"/>
            </w:pPr>
            <w:r w:rsidRPr="00783020">
              <w:t>82.4</w:t>
            </w:r>
          </w:p>
        </w:tc>
        <w:tc>
          <w:tcPr>
            <w:tcW w:w="8.52%" w:type="pct"/>
            <w:gridSpan w:val="2"/>
            <w:shd w:val="clear" w:color="auto" w:fill="auto"/>
            <w:noWrap/>
            <w:vAlign w:val="bottom"/>
            <w:hideMark/>
          </w:tcPr>
          <w:p w:rsidR="00783020" w:rsidRPr="00783020" w:rsidRDefault="00783020" w:rsidP="00783020">
            <w:pPr>
              <w:pStyle w:val="tablecopy"/>
              <w:jc w:val="end"/>
            </w:pPr>
            <w:r w:rsidRPr="00783020">
              <w:t>7</w:t>
            </w:r>
          </w:p>
        </w:tc>
        <w:tc>
          <w:tcPr>
            <w:tcW w:w="4.98%" w:type="pct"/>
            <w:vAlign w:val="bottom"/>
          </w:tcPr>
          <w:p w:rsidR="00783020" w:rsidRPr="00783020" w:rsidRDefault="00783020" w:rsidP="00783020">
            <w:pPr>
              <w:pStyle w:val="tablecopy"/>
              <w:jc w:val="end"/>
            </w:pPr>
            <w:r w:rsidRPr="00783020">
              <w:t>83.3</w:t>
            </w:r>
          </w:p>
        </w:tc>
        <w:tc>
          <w:tcPr>
            <w:tcW w:w="8.94%" w:type="pct"/>
            <w:gridSpan w:val="2"/>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82.0</w:t>
            </w:r>
          </w:p>
        </w:tc>
        <w:tc>
          <w:tcPr>
            <w:tcW w:w="5.5%" w:type="pct"/>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82.1</w:t>
            </w:r>
          </w:p>
        </w:tc>
      </w:tr>
      <w:tr w:rsidR="00783020" w:rsidRPr="00783020" w:rsidTr="00783020">
        <w:trPr>
          <w:trHeight w:val="288"/>
        </w:trPr>
        <w:tc>
          <w:tcPr>
            <w:tcW w:w="15.26%" w:type="pct"/>
            <w:vMerge/>
            <w:tcBorders>
              <w:start w:val="nil"/>
            </w:tcBorders>
            <w:shd w:val="clear" w:color="auto" w:fill="auto"/>
            <w:noWrap/>
          </w:tcPr>
          <w:p w:rsidR="00783020" w:rsidRPr="00783020" w:rsidRDefault="00783020" w:rsidP="00783020">
            <w:pPr>
              <w:pStyle w:val="tablecolhead"/>
            </w:pPr>
          </w:p>
        </w:tc>
        <w:tc>
          <w:tcPr>
            <w:tcW w:w="11.44%" w:type="pct"/>
            <w:gridSpan w:val="2"/>
            <w:shd w:val="clear" w:color="auto" w:fill="auto"/>
            <w:noWrap/>
            <w:vAlign w:val="bottom"/>
          </w:tcPr>
          <w:p w:rsidR="00783020" w:rsidRPr="00783020" w:rsidRDefault="00783020" w:rsidP="00783020">
            <w:pPr>
              <w:pStyle w:val="tablecolhead"/>
            </w:pPr>
            <w:r w:rsidRPr="00783020">
              <w:t>QRNN</w:t>
            </w:r>
          </w:p>
        </w:tc>
        <w:tc>
          <w:tcPr>
            <w:tcW w:w="4.52%" w:type="pct"/>
            <w:gridSpan w:val="2"/>
            <w:shd w:val="clear" w:color="auto" w:fill="auto"/>
            <w:noWrap/>
            <w:vAlign w:val="bottom"/>
          </w:tcPr>
          <w:p w:rsidR="00783020" w:rsidRPr="00783020" w:rsidRDefault="00783020" w:rsidP="00783020">
            <w:pPr>
              <w:pStyle w:val="tablecopy"/>
              <w:jc w:val="end"/>
            </w:pPr>
            <w:r w:rsidRPr="00783020">
              <w:t>128</w:t>
            </w:r>
          </w:p>
        </w:tc>
        <w:tc>
          <w:tcPr>
            <w:tcW w:w="5.3%" w:type="pct"/>
            <w:gridSpan w:val="2"/>
            <w:shd w:val="clear" w:color="auto" w:fill="auto"/>
            <w:noWrap/>
            <w:vAlign w:val="bottom"/>
          </w:tcPr>
          <w:p w:rsidR="00783020" w:rsidRPr="00783020" w:rsidRDefault="00783020" w:rsidP="00783020">
            <w:pPr>
              <w:pStyle w:val="tablecopy"/>
              <w:jc w:val="end"/>
            </w:pPr>
            <w:r w:rsidRPr="00783020">
              <w:t>32</w:t>
            </w:r>
          </w:p>
        </w:tc>
        <w:tc>
          <w:tcPr>
            <w:tcW w:w="9.68%" w:type="pct"/>
            <w:gridSpan w:val="3"/>
            <w:shd w:val="clear" w:color="auto" w:fill="auto"/>
            <w:noWrap/>
            <w:vAlign w:val="bottom"/>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shd w:val="clear" w:color="auto" w:fill="auto"/>
            <w:noWrap/>
            <w:vAlign w:val="bottom"/>
          </w:tcPr>
          <w:p w:rsidR="00783020" w:rsidRPr="00783020" w:rsidRDefault="00783020" w:rsidP="00783020">
            <w:pPr>
              <w:pStyle w:val="tablecopy"/>
              <w:jc w:val="end"/>
            </w:pPr>
            <w:r w:rsidRPr="00783020">
              <w:t>0.051</w:t>
            </w:r>
          </w:p>
        </w:tc>
        <w:tc>
          <w:tcPr>
            <w:tcW w:w="6.86%" w:type="pct"/>
            <w:gridSpan w:val="2"/>
            <w:shd w:val="clear" w:color="auto" w:fill="auto"/>
            <w:noWrap/>
            <w:vAlign w:val="bottom"/>
          </w:tcPr>
          <w:p w:rsidR="00783020" w:rsidRPr="00783020" w:rsidRDefault="00783020" w:rsidP="00783020">
            <w:pPr>
              <w:pStyle w:val="tablecopy"/>
              <w:jc w:val="end"/>
            </w:pPr>
            <w:r w:rsidRPr="00783020">
              <w:t>4e-06</w:t>
            </w:r>
          </w:p>
        </w:tc>
        <w:tc>
          <w:tcPr>
            <w:tcW w:w="6.42%" w:type="pct"/>
            <w:shd w:val="clear" w:color="auto" w:fill="auto"/>
            <w:noWrap/>
            <w:vAlign w:val="bottom"/>
          </w:tcPr>
          <w:p w:rsidR="00783020" w:rsidRPr="00783020" w:rsidRDefault="00783020" w:rsidP="00783020">
            <w:pPr>
              <w:pStyle w:val="tablecopy"/>
              <w:jc w:val="end"/>
            </w:pPr>
            <w:r w:rsidRPr="00783020">
              <w:t>1e-06</w:t>
            </w:r>
          </w:p>
        </w:tc>
        <w:tc>
          <w:tcPr>
            <w:tcW w:w="6.96%" w:type="pct"/>
            <w:shd w:val="clear" w:color="auto" w:fill="auto"/>
            <w:noWrap/>
            <w:vAlign w:val="bottom"/>
          </w:tcPr>
          <w:p w:rsidR="00783020" w:rsidRPr="00783020" w:rsidRDefault="00783020" w:rsidP="00783020">
            <w:pPr>
              <w:pStyle w:val="tablecopy"/>
              <w:jc w:val="end"/>
            </w:pPr>
            <w:r w:rsidRPr="00783020">
              <w:t>83.1</w:t>
            </w:r>
          </w:p>
        </w:tc>
        <w:tc>
          <w:tcPr>
            <w:tcW w:w="8.52%" w:type="pct"/>
            <w:gridSpan w:val="2"/>
            <w:shd w:val="clear" w:color="auto" w:fill="auto"/>
            <w:noWrap/>
            <w:vAlign w:val="bottom"/>
          </w:tcPr>
          <w:p w:rsidR="00783020" w:rsidRPr="00783020" w:rsidRDefault="00783020" w:rsidP="00783020">
            <w:pPr>
              <w:pStyle w:val="tablecopy"/>
              <w:jc w:val="end"/>
            </w:pPr>
            <w:r w:rsidRPr="00783020">
              <w:t>3</w:t>
            </w:r>
          </w:p>
        </w:tc>
        <w:tc>
          <w:tcPr>
            <w:tcW w:w="4.98%" w:type="pct"/>
            <w:vAlign w:val="bottom"/>
          </w:tcPr>
          <w:p w:rsidR="00783020" w:rsidRPr="00783020" w:rsidRDefault="00783020" w:rsidP="00783020">
            <w:pPr>
              <w:pStyle w:val="tablecopy"/>
              <w:jc w:val="end"/>
            </w:pPr>
            <w:r w:rsidRPr="00783020">
              <w:t>83.2</w:t>
            </w:r>
          </w:p>
        </w:tc>
        <w:tc>
          <w:tcPr>
            <w:tcW w:w="8.94%" w:type="pct"/>
            <w:gridSpan w:val="2"/>
            <w:vAlign w:val="bottom"/>
          </w:tcPr>
          <w:p w:rsidR="00783020" w:rsidRPr="00783020" w:rsidRDefault="00783020" w:rsidP="00783020">
            <w:pPr>
              <w:jc w:val="end"/>
              <w:rPr>
                <w:color w:val="000000"/>
                <w:sz w:val="16"/>
                <w:szCs w:val="16"/>
              </w:rPr>
            </w:pPr>
            <w:r w:rsidRPr="00783020">
              <w:rPr>
                <w:color w:val="000000"/>
                <w:sz w:val="16"/>
                <w:szCs w:val="16"/>
              </w:rPr>
              <w:t>81.0</w:t>
            </w:r>
          </w:p>
        </w:tc>
        <w:tc>
          <w:tcPr>
            <w:tcW w:w="5.5%" w:type="pct"/>
            <w:tcBorders>
              <w:end w:val="nil"/>
            </w:tcBorders>
            <w:vAlign w:val="bottom"/>
          </w:tcPr>
          <w:p w:rsidR="00783020" w:rsidRPr="00783020" w:rsidRDefault="00783020" w:rsidP="00783020">
            <w:pPr>
              <w:jc w:val="end"/>
              <w:rPr>
                <w:color w:val="000000"/>
                <w:sz w:val="16"/>
                <w:szCs w:val="16"/>
              </w:rPr>
            </w:pPr>
            <w:r w:rsidRPr="00783020">
              <w:rPr>
                <w:color w:val="000000"/>
                <w:sz w:val="16"/>
                <w:szCs w:val="16"/>
              </w:rPr>
              <w:t>81.2</w:t>
            </w:r>
          </w:p>
        </w:tc>
      </w:tr>
      <w:tr w:rsidR="00783020" w:rsidRPr="00783020" w:rsidTr="00783020">
        <w:trPr>
          <w:trHeight w:val="288"/>
        </w:trPr>
        <w:tc>
          <w:tcPr>
            <w:tcW w:w="15.26%" w:type="pct"/>
            <w:vMerge/>
            <w:tcBorders>
              <w:start w:val="nil"/>
              <w:bottom w:val="single" w:sz="4" w:space="0" w:color="auto"/>
            </w:tcBorders>
            <w:shd w:val="clear" w:color="auto" w:fill="auto"/>
            <w:noWrap/>
            <w:hideMark/>
          </w:tcPr>
          <w:p w:rsidR="00783020" w:rsidRPr="00783020" w:rsidRDefault="00783020" w:rsidP="00783020">
            <w:pPr>
              <w:pStyle w:val="tablecolhead"/>
            </w:pPr>
          </w:p>
        </w:tc>
        <w:tc>
          <w:tcPr>
            <w:tcW w:w="11.44%" w:type="pct"/>
            <w:gridSpan w:val="2"/>
            <w:tcBorders>
              <w:bottom w:val="single" w:sz="4" w:space="0" w:color="auto"/>
            </w:tcBorders>
            <w:shd w:val="clear" w:color="auto" w:fill="auto"/>
            <w:noWrap/>
            <w:vAlign w:val="bottom"/>
            <w:hideMark/>
          </w:tcPr>
          <w:p w:rsidR="00783020" w:rsidRPr="00783020" w:rsidRDefault="00783020" w:rsidP="00783020">
            <w:pPr>
              <w:pStyle w:val="tablecolhead"/>
            </w:pPr>
            <w:r w:rsidRPr="00783020">
              <w:t>RETAIN</w:t>
            </w:r>
          </w:p>
        </w:tc>
        <w:tc>
          <w:tcPr>
            <w:tcW w:w="4.52%"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5.3%"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9.68%" w:type="pct"/>
            <w:gridSpan w:val="3"/>
            <w:tcBorders>
              <w:bottom w:val="single" w:sz="4" w:space="0" w:color="auto"/>
            </w:tcBorders>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Adadelta</w:t>
            </w:r>
          </w:p>
        </w:tc>
        <w:tc>
          <w:tcPr>
            <w:tcW w:w="5.62%" w:type="pct"/>
            <w:gridSpan w:val="3"/>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w:t>
            </w:r>
          </w:p>
        </w:tc>
        <w:tc>
          <w:tcPr>
            <w:tcW w:w="6.86%"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0.0001</w:t>
            </w:r>
          </w:p>
        </w:tc>
        <w:tc>
          <w:tcPr>
            <w:tcW w:w="6.42%" w:type="pct"/>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w:t>
            </w:r>
          </w:p>
        </w:tc>
        <w:tc>
          <w:tcPr>
            <w:tcW w:w="6.96%" w:type="pct"/>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83</w:t>
            </w:r>
          </w:p>
        </w:tc>
        <w:tc>
          <w:tcPr>
            <w:tcW w:w="8.52%"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8</w:t>
            </w:r>
          </w:p>
        </w:tc>
        <w:tc>
          <w:tcPr>
            <w:tcW w:w="4.98%" w:type="pct"/>
            <w:tcBorders>
              <w:bottom w:val="single" w:sz="4" w:space="0" w:color="auto"/>
            </w:tcBorders>
            <w:vAlign w:val="bottom"/>
          </w:tcPr>
          <w:p w:rsidR="00783020" w:rsidRPr="00783020" w:rsidRDefault="00783020" w:rsidP="00783020">
            <w:pPr>
              <w:pStyle w:val="tablecopy"/>
              <w:jc w:val="end"/>
            </w:pPr>
            <w:r w:rsidRPr="00783020">
              <w:t>83.8</w:t>
            </w:r>
          </w:p>
        </w:tc>
        <w:tc>
          <w:tcPr>
            <w:tcW w:w="8.94%" w:type="pct"/>
            <w:gridSpan w:val="2"/>
            <w:tcBorders>
              <w:bottom w:val="single" w:sz="4" w:space="0" w:color="auto"/>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82.2</w:t>
            </w:r>
          </w:p>
        </w:tc>
        <w:tc>
          <w:tcPr>
            <w:tcW w:w="5.5%" w:type="pct"/>
            <w:tcBorders>
              <w:bottom w:val="single" w:sz="4" w:space="0" w:color="auto"/>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82.3</w:t>
            </w:r>
          </w:p>
        </w:tc>
      </w:tr>
      <w:tr w:rsidR="00783020" w:rsidRPr="00783020" w:rsidTr="00783020">
        <w:trPr>
          <w:trHeight w:val="288"/>
        </w:trPr>
        <w:tc>
          <w:tcPr>
            <w:tcW w:w="15.26%" w:type="pct"/>
            <w:vMerge w:val="restart"/>
            <w:tcBorders>
              <w:top w:val="single" w:sz="4" w:space="0" w:color="auto"/>
              <w:start w:val="nil"/>
              <w:bottom w:val="single" w:sz="4" w:space="0" w:color="auto"/>
            </w:tcBorders>
            <w:shd w:val="clear" w:color="auto" w:fill="auto"/>
            <w:noWrap/>
            <w:hideMark/>
          </w:tcPr>
          <w:p w:rsidR="00783020" w:rsidRPr="00783020" w:rsidRDefault="00783020" w:rsidP="00783020">
            <w:pPr>
              <w:pStyle w:val="tablecolhead"/>
            </w:pPr>
            <w:r w:rsidRPr="00783020">
              <w:t>Early Re-admission</w:t>
            </w:r>
          </w:p>
          <w:p w:rsidR="00783020" w:rsidRPr="00783020" w:rsidRDefault="00783020" w:rsidP="00783020">
            <w:pPr>
              <w:pStyle w:val="tablecolhead"/>
            </w:pPr>
            <w:r w:rsidRPr="00783020">
              <w:t>Prediction</w:t>
            </w:r>
          </w:p>
          <w:p w:rsidR="00783020" w:rsidRPr="00783020" w:rsidRDefault="00783020" w:rsidP="00783020">
            <w:pPr>
              <w:pStyle w:val="tablecolhead"/>
            </w:pPr>
          </w:p>
        </w:tc>
        <w:tc>
          <w:tcPr>
            <w:tcW w:w="11.44%" w:type="pct"/>
            <w:gridSpan w:val="2"/>
            <w:tcBorders>
              <w:top w:val="single" w:sz="4" w:space="0" w:color="auto"/>
            </w:tcBorders>
            <w:shd w:val="clear" w:color="auto" w:fill="auto"/>
            <w:noWrap/>
            <w:vAlign w:val="bottom"/>
            <w:hideMark/>
          </w:tcPr>
          <w:p w:rsidR="00783020" w:rsidRPr="00783020" w:rsidRDefault="00783020" w:rsidP="00783020">
            <w:pPr>
              <w:pStyle w:val="tablecolhead"/>
            </w:pPr>
            <w:r w:rsidRPr="00783020">
              <w:t>GRU</w:t>
            </w:r>
          </w:p>
        </w:tc>
        <w:tc>
          <w:tcPr>
            <w:tcW w:w="4.52%"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5.3%"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9.68%" w:type="pct"/>
            <w:gridSpan w:val="3"/>
            <w:tcBorders>
              <w:top w:val="single" w:sz="4" w:space="0" w:color="auto"/>
            </w:tcBorders>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0.073</w:t>
            </w:r>
          </w:p>
        </w:tc>
        <w:tc>
          <w:tcPr>
            <w:tcW w:w="6.86%"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0.0043</w:t>
            </w:r>
          </w:p>
        </w:tc>
        <w:tc>
          <w:tcPr>
            <w:tcW w:w="6.42%" w:type="pct"/>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0.0001</w:t>
            </w:r>
          </w:p>
        </w:tc>
        <w:tc>
          <w:tcPr>
            <w:tcW w:w="6.96%" w:type="pct"/>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75.4</w:t>
            </w:r>
          </w:p>
        </w:tc>
        <w:tc>
          <w:tcPr>
            <w:tcW w:w="8.52%" w:type="pct"/>
            <w:gridSpan w:val="2"/>
            <w:tcBorders>
              <w:top w:val="single" w:sz="4" w:space="0" w:color="auto"/>
            </w:tcBorders>
            <w:shd w:val="clear" w:color="auto" w:fill="auto"/>
            <w:noWrap/>
            <w:vAlign w:val="bottom"/>
            <w:hideMark/>
          </w:tcPr>
          <w:p w:rsidR="00783020" w:rsidRPr="00783020" w:rsidRDefault="00783020" w:rsidP="00783020">
            <w:pPr>
              <w:pStyle w:val="tablecopy"/>
              <w:jc w:val="end"/>
            </w:pPr>
            <w:r w:rsidRPr="00783020">
              <w:t>22</w:t>
            </w:r>
          </w:p>
        </w:tc>
        <w:tc>
          <w:tcPr>
            <w:tcW w:w="4.98%" w:type="pct"/>
            <w:tcBorders>
              <w:top w:val="single" w:sz="4" w:space="0" w:color="auto"/>
            </w:tcBorders>
            <w:vAlign w:val="bottom"/>
          </w:tcPr>
          <w:p w:rsidR="00783020" w:rsidRPr="00783020" w:rsidRDefault="00783020" w:rsidP="00783020">
            <w:pPr>
              <w:pStyle w:val="tablecopy"/>
              <w:jc w:val="end"/>
            </w:pPr>
            <w:r w:rsidRPr="00783020">
              <w:t>75.5</w:t>
            </w:r>
          </w:p>
        </w:tc>
        <w:tc>
          <w:tcPr>
            <w:tcW w:w="8.94%" w:type="pct"/>
            <w:gridSpan w:val="2"/>
            <w:tcBorders>
              <w:top w:val="single" w:sz="4" w:space="0" w:color="auto"/>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75.3</w:t>
            </w:r>
          </w:p>
        </w:tc>
        <w:tc>
          <w:tcPr>
            <w:tcW w:w="5.5%" w:type="pct"/>
            <w:tcBorders>
              <w:top w:val="single" w:sz="4" w:space="0" w:color="auto"/>
              <w:start w:val="nil"/>
              <w:bottom w:val="nil"/>
              <w:end w:val="nil"/>
            </w:tcBorders>
            <w:vAlign w:val="bottom"/>
          </w:tcPr>
          <w:p w:rsidR="00783020" w:rsidRPr="00783020" w:rsidRDefault="00783020" w:rsidP="00783020">
            <w:pPr>
              <w:jc w:val="end"/>
              <w:rPr>
                <w:rFonts w:eastAsia="Times New Roman"/>
                <w:color w:val="000000"/>
                <w:sz w:val="16"/>
                <w:szCs w:val="16"/>
              </w:rPr>
            </w:pPr>
            <w:r w:rsidRPr="00783020">
              <w:rPr>
                <w:sz w:val="16"/>
                <w:szCs w:val="16"/>
              </w:rPr>
              <w:t>74.7</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Bi-LSTM</w:t>
            </w:r>
          </w:p>
        </w:tc>
        <w:tc>
          <w:tcPr>
            <w:tcW w:w="4.52%" w:type="pct"/>
            <w:gridSpan w:val="2"/>
            <w:shd w:val="clear" w:color="auto" w:fill="auto"/>
            <w:noWrap/>
            <w:vAlign w:val="bottom"/>
            <w:hideMark/>
          </w:tcPr>
          <w:p w:rsidR="00783020" w:rsidRPr="00783020" w:rsidRDefault="00783020" w:rsidP="00783020">
            <w:pPr>
              <w:pStyle w:val="tablecopy"/>
              <w:jc w:val="end"/>
            </w:pPr>
            <w:r w:rsidRPr="00783020">
              <w:t>64</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Adadelta</w:t>
            </w:r>
          </w:p>
        </w:tc>
        <w:tc>
          <w:tcPr>
            <w:tcW w:w="5.62%" w:type="pct"/>
            <w:gridSpan w:val="3"/>
            <w:shd w:val="clear" w:color="auto" w:fill="auto"/>
            <w:noWrap/>
            <w:vAlign w:val="bottom"/>
            <w:hideMark/>
          </w:tcPr>
          <w:p w:rsidR="00783020" w:rsidRPr="00783020" w:rsidRDefault="00783020" w:rsidP="00783020">
            <w:pPr>
              <w:pStyle w:val="tablecopy"/>
              <w:jc w:val="end"/>
            </w:pPr>
            <w:r w:rsidRPr="00783020">
              <w:t>1</w:t>
            </w:r>
          </w:p>
        </w:tc>
        <w:tc>
          <w:tcPr>
            <w:tcW w:w="6.86%" w:type="pct"/>
            <w:gridSpan w:val="2"/>
            <w:shd w:val="clear" w:color="auto" w:fill="auto"/>
            <w:noWrap/>
            <w:vAlign w:val="bottom"/>
            <w:hideMark/>
          </w:tcPr>
          <w:p w:rsidR="00783020" w:rsidRPr="00783020" w:rsidRDefault="00783020" w:rsidP="00783020">
            <w:pPr>
              <w:pStyle w:val="tablecopy"/>
              <w:jc w:val="end"/>
            </w:pPr>
            <w:r w:rsidRPr="00783020">
              <w:t>0.003</w:t>
            </w:r>
          </w:p>
        </w:tc>
        <w:tc>
          <w:tcPr>
            <w:tcW w:w="6.42%" w:type="pct"/>
            <w:shd w:val="clear" w:color="auto" w:fill="auto"/>
            <w:noWrap/>
            <w:vAlign w:val="bottom"/>
            <w:hideMark/>
          </w:tcPr>
          <w:p w:rsidR="00783020" w:rsidRPr="00783020" w:rsidRDefault="00783020" w:rsidP="00783020">
            <w:pPr>
              <w:pStyle w:val="tablecopy"/>
              <w:jc w:val="end"/>
            </w:pPr>
            <w:r w:rsidRPr="00783020">
              <w:t>0.0001</w:t>
            </w:r>
          </w:p>
        </w:tc>
        <w:tc>
          <w:tcPr>
            <w:tcW w:w="6.96%" w:type="pct"/>
            <w:shd w:val="clear" w:color="auto" w:fill="auto"/>
            <w:noWrap/>
            <w:vAlign w:val="bottom"/>
            <w:hideMark/>
          </w:tcPr>
          <w:p w:rsidR="00783020" w:rsidRPr="00783020" w:rsidRDefault="00783020" w:rsidP="00783020">
            <w:pPr>
              <w:pStyle w:val="tablecopy"/>
              <w:jc w:val="end"/>
            </w:pPr>
            <w:r w:rsidRPr="00783020">
              <w:t>75.1</w:t>
            </w:r>
          </w:p>
        </w:tc>
        <w:tc>
          <w:tcPr>
            <w:tcW w:w="8.52%" w:type="pct"/>
            <w:gridSpan w:val="2"/>
            <w:shd w:val="clear" w:color="auto" w:fill="auto"/>
            <w:noWrap/>
            <w:vAlign w:val="bottom"/>
            <w:hideMark/>
          </w:tcPr>
          <w:p w:rsidR="00783020" w:rsidRPr="00783020" w:rsidRDefault="00783020" w:rsidP="00783020">
            <w:pPr>
              <w:pStyle w:val="tablecopy"/>
              <w:jc w:val="end"/>
            </w:pPr>
            <w:r w:rsidRPr="00783020">
              <w:t>17</w:t>
            </w:r>
          </w:p>
        </w:tc>
        <w:tc>
          <w:tcPr>
            <w:tcW w:w="4.98%" w:type="pct"/>
            <w:vAlign w:val="bottom"/>
          </w:tcPr>
          <w:p w:rsidR="00783020" w:rsidRPr="00783020" w:rsidRDefault="00783020" w:rsidP="00783020">
            <w:pPr>
              <w:pStyle w:val="tablecopy"/>
              <w:jc w:val="end"/>
            </w:pPr>
            <w:r w:rsidRPr="00783020">
              <w:t>75.2</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74.5</w:t>
            </w:r>
          </w:p>
        </w:tc>
        <w:tc>
          <w:tcPr>
            <w:tcW w:w="5.5%" w:type="pct"/>
            <w:tcBorders>
              <w:top w:val="nil"/>
              <w:start w:val="nil"/>
              <w:bottom w:val="nil"/>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73.9</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Bi-GRU</w:t>
            </w:r>
          </w:p>
        </w:tc>
        <w:tc>
          <w:tcPr>
            <w:tcW w:w="4.52%" w:type="pct"/>
            <w:gridSpan w:val="2"/>
            <w:shd w:val="clear" w:color="auto" w:fill="auto"/>
            <w:noWrap/>
            <w:vAlign w:val="bottom"/>
            <w:hideMark/>
          </w:tcPr>
          <w:p w:rsidR="00783020" w:rsidRPr="00783020" w:rsidRDefault="00783020" w:rsidP="00783020">
            <w:pPr>
              <w:pStyle w:val="tablecopy"/>
              <w:jc w:val="end"/>
            </w:pPr>
            <w:r w:rsidRPr="00783020">
              <w:t>64</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Adadelta</w:t>
            </w:r>
          </w:p>
        </w:tc>
        <w:tc>
          <w:tcPr>
            <w:tcW w:w="5.62%" w:type="pct"/>
            <w:gridSpan w:val="3"/>
            <w:shd w:val="clear" w:color="auto" w:fill="auto"/>
            <w:noWrap/>
            <w:vAlign w:val="bottom"/>
            <w:hideMark/>
          </w:tcPr>
          <w:p w:rsidR="00783020" w:rsidRPr="00783020" w:rsidRDefault="00783020" w:rsidP="00783020">
            <w:pPr>
              <w:pStyle w:val="tablecopy"/>
              <w:jc w:val="end"/>
            </w:pPr>
            <w:r w:rsidRPr="00783020">
              <w:t>1</w:t>
            </w:r>
          </w:p>
        </w:tc>
        <w:tc>
          <w:tcPr>
            <w:tcW w:w="6.86%" w:type="pct"/>
            <w:gridSpan w:val="2"/>
            <w:shd w:val="clear" w:color="auto" w:fill="auto"/>
            <w:noWrap/>
            <w:vAlign w:val="bottom"/>
            <w:hideMark/>
          </w:tcPr>
          <w:p w:rsidR="00783020" w:rsidRPr="00783020" w:rsidRDefault="00783020" w:rsidP="00783020">
            <w:pPr>
              <w:pStyle w:val="tablecopy"/>
              <w:jc w:val="end"/>
            </w:pPr>
            <w:r w:rsidRPr="00783020">
              <w:t>0.0027</w:t>
            </w:r>
          </w:p>
        </w:tc>
        <w:tc>
          <w:tcPr>
            <w:tcW w:w="6.42%" w:type="pct"/>
            <w:shd w:val="clear" w:color="auto" w:fill="auto"/>
            <w:noWrap/>
            <w:vAlign w:val="bottom"/>
            <w:hideMark/>
          </w:tcPr>
          <w:p w:rsidR="00783020" w:rsidRPr="00783020" w:rsidRDefault="00783020" w:rsidP="00783020">
            <w:pPr>
              <w:pStyle w:val="tablecopy"/>
              <w:jc w:val="end"/>
            </w:pPr>
            <w:r w:rsidRPr="00783020">
              <w:t>1e-06</w:t>
            </w:r>
          </w:p>
        </w:tc>
        <w:tc>
          <w:tcPr>
            <w:tcW w:w="6.96%" w:type="pct"/>
            <w:shd w:val="clear" w:color="auto" w:fill="auto"/>
            <w:noWrap/>
            <w:vAlign w:val="bottom"/>
            <w:hideMark/>
          </w:tcPr>
          <w:p w:rsidR="00783020" w:rsidRPr="00783020" w:rsidRDefault="00783020" w:rsidP="00783020">
            <w:pPr>
              <w:pStyle w:val="tablecopy"/>
              <w:jc w:val="end"/>
            </w:pPr>
            <w:r w:rsidRPr="00783020">
              <w:t>76.2</w:t>
            </w:r>
          </w:p>
        </w:tc>
        <w:tc>
          <w:tcPr>
            <w:tcW w:w="8.52%" w:type="pct"/>
            <w:gridSpan w:val="2"/>
            <w:shd w:val="clear" w:color="auto" w:fill="auto"/>
            <w:noWrap/>
            <w:vAlign w:val="bottom"/>
            <w:hideMark/>
          </w:tcPr>
          <w:p w:rsidR="00783020" w:rsidRPr="00783020" w:rsidRDefault="00783020" w:rsidP="00783020">
            <w:pPr>
              <w:pStyle w:val="tablecopy"/>
              <w:jc w:val="end"/>
            </w:pPr>
            <w:r w:rsidRPr="00783020">
              <w:t>13</w:t>
            </w:r>
          </w:p>
        </w:tc>
        <w:tc>
          <w:tcPr>
            <w:tcW w:w="4.98%" w:type="pct"/>
            <w:vAlign w:val="bottom"/>
          </w:tcPr>
          <w:p w:rsidR="00783020" w:rsidRPr="00783020" w:rsidRDefault="00783020" w:rsidP="00783020">
            <w:pPr>
              <w:pStyle w:val="tablecopy"/>
              <w:jc w:val="end"/>
            </w:pPr>
            <w:r w:rsidRPr="00783020">
              <w:t>74.4</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75.1</w:t>
            </w:r>
          </w:p>
        </w:tc>
        <w:tc>
          <w:tcPr>
            <w:tcW w:w="5.5%" w:type="pct"/>
            <w:tcBorders>
              <w:top w:val="nil"/>
              <w:start w:val="nil"/>
              <w:bottom w:val="nil"/>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74.6</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LSTM</w:t>
            </w:r>
          </w:p>
        </w:tc>
        <w:tc>
          <w:tcPr>
            <w:tcW w:w="4.52%" w:type="pct"/>
            <w:gridSpan w:val="2"/>
            <w:shd w:val="clear" w:color="auto" w:fill="auto"/>
            <w:noWrap/>
            <w:vAlign w:val="bottom"/>
            <w:hideMark/>
          </w:tcPr>
          <w:p w:rsidR="00783020" w:rsidRPr="00783020" w:rsidRDefault="00783020" w:rsidP="00783020">
            <w:pPr>
              <w:pStyle w:val="tablecopy"/>
              <w:jc w:val="end"/>
            </w:pPr>
            <w:r w:rsidRPr="00783020">
              <w:t>128</w:t>
            </w:r>
          </w:p>
        </w:tc>
        <w:tc>
          <w:tcPr>
            <w:tcW w:w="5.3%" w:type="pct"/>
            <w:gridSpan w:val="2"/>
            <w:shd w:val="clear" w:color="auto" w:fill="auto"/>
            <w:noWrap/>
            <w:vAlign w:val="bottom"/>
            <w:hideMark/>
          </w:tcPr>
          <w:p w:rsidR="00783020" w:rsidRPr="00783020" w:rsidRDefault="00783020" w:rsidP="00783020">
            <w:pPr>
              <w:pStyle w:val="tablecopy"/>
              <w:jc w:val="end"/>
            </w:pPr>
            <w:r w:rsidRPr="00783020">
              <w:t>64</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Adadelta</w:t>
            </w:r>
          </w:p>
        </w:tc>
        <w:tc>
          <w:tcPr>
            <w:tcW w:w="5.62%" w:type="pct"/>
            <w:gridSpan w:val="3"/>
            <w:shd w:val="clear" w:color="auto" w:fill="auto"/>
            <w:noWrap/>
            <w:vAlign w:val="bottom"/>
            <w:hideMark/>
          </w:tcPr>
          <w:p w:rsidR="00783020" w:rsidRPr="00783020" w:rsidRDefault="00783020" w:rsidP="00783020">
            <w:pPr>
              <w:pStyle w:val="tablecopy"/>
              <w:jc w:val="end"/>
            </w:pPr>
            <w:r w:rsidRPr="00783020">
              <w:t>1</w:t>
            </w:r>
          </w:p>
        </w:tc>
        <w:tc>
          <w:tcPr>
            <w:tcW w:w="6.86%" w:type="pct"/>
            <w:gridSpan w:val="2"/>
            <w:shd w:val="clear" w:color="auto" w:fill="auto"/>
            <w:noWrap/>
            <w:vAlign w:val="bottom"/>
            <w:hideMark/>
          </w:tcPr>
          <w:p w:rsidR="00783020" w:rsidRPr="00783020" w:rsidRDefault="00783020" w:rsidP="00783020">
            <w:pPr>
              <w:pStyle w:val="tablecopy"/>
              <w:jc w:val="end"/>
            </w:pPr>
            <w:r w:rsidRPr="00783020">
              <w:t>0.0043</w:t>
            </w:r>
          </w:p>
        </w:tc>
        <w:tc>
          <w:tcPr>
            <w:tcW w:w="6.42%" w:type="pct"/>
            <w:shd w:val="clear" w:color="auto" w:fill="auto"/>
            <w:noWrap/>
            <w:vAlign w:val="bottom"/>
            <w:hideMark/>
          </w:tcPr>
          <w:p w:rsidR="00783020" w:rsidRPr="00783020" w:rsidRDefault="00783020" w:rsidP="00783020">
            <w:pPr>
              <w:pStyle w:val="tablecopy"/>
              <w:jc w:val="end"/>
            </w:pPr>
            <w:r w:rsidRPr="00783020">
              <w:t>1e-05</w:t>
            </w:r>
          </w:p>
        </w:tc>
        <w:tc>
          <w:tcPr>
            <w:tcW w:w="6.96%" w:type="pct"/>
            <w:shd w:val="clear" w:color="auto" w:fill="auto"/>
            <w:noWrap/>
            <w:vAlign w:val="bottom"/>
            <w:hideMark/>
          </w:tcPr>
          <w:p w:rsidR="00783020" w:rsidRPr="00783020" w:rsidRDefault="00783020" w:rsidP="00783020">
            <w:pPr>
              <w:pStyle w:val="tablecopy"/>
              <w:jc w:val="end"/>
            </w:pPr>
            <w:r w:rsidRPr="00783020">
              <w:t>74.4</w:t>
            </w:r>
          </w:p>
        </w:tc>
        <w:tc>
          <w:tcPr>
            <w:tcW w:w="8.52%" w:type="pct"/>
            <w:gridSpan w:val="2"/>
            <w:shd w:val="clear" w:color="auto" w:fill="auto"/>
            <w:noWrap/>
            <w:vAlign w:val="bottom"/>
            <w:hideMark/>
          </w:tcPr>
          <w:p w:rsidR="00783020" w:rsidRPr="00783020" w:rsidRDefault="00783020" w:rsidP="00783020">
            <w:pPr>
              <w:pStyle w:val="tablecopy"/>
              <w:jc w:val="end"/>
            </w:pPr>
            <w:r w:rsidRPr="00783020">
              <w:t>13</w:t>
            </w:r>
          </w:p>
        </w:tc>
        <w:tc>
          <w:tcPr>
            <w:tcW w:w="4.98%" w:type="pct"/>
            <w:vAlign w:val="bottom"/>
          </w:tcPr>
          <w:p w:rsidR="00783020" w:rsidRPr="00783020" w:rsidRDefault="00783020" w:rsidP="00783020">
            <w:pPr>
              <w:pStyle w:val="tablecopy"/>
              <w:jc w:val="end"/>
            </w:pPr>
            <w:r w:rsidRPr="00783020">
              <w:t>73.8</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73.9</w:t>
            </w:r>
          </w:p>
        </w:tc>
        <w:tc>
          <w:tcPr>
            <w:tcW w:w="5.5%" w:type="pct"/>
            <w:tcBorders>
              <w:top w:val="nil"/>
              <w:start w:val="nil"/>
              <w:bottom w:val="nil"/>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73.6</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hideMark/>
          </w:tcPr>
          <w:p w:rsidR="00783020" w:rsidRPr="00783020" w:rsidRDefault="00783020" w:rsidP="00783020">
            <w:pPr>
              <w:pStyle w:val="tablecolhead"/>
            </w:pPr>
          </w:p>
        </w:tc>
        <w:tc>
          <w:tcPr>
            <w:tcW w:w="11.44%" w:type="pct"/>
            <w:gridSpan w:val="2"/>
            <w:shd w:val="clear" w:color="auto" w:fill="auto"/>
            <w:noWrap/>
            <w:vAlign w:val="bottom"/>
            <w:hideMark/>
          </w:tcPr>
          <w:p w:rsidR="00783020" w:rsidRPr="00783020" w:rsidRDefault="00783020" w:rsidP="00783020">
            <w:pPr>
              <w:pStyle w:val="tablecolhead"/>
            </w:pPr>
            <w:r w:rsidRPr="00783020">
              <w:t>QRNN</w:t>
            </w:r>
          </w:p>
        </w:tc>
        <w:tc>
          <w:tcPr>
            <w:tcW w:w="4.52%" w:type="pct"/>
            <w:gridSpan w:val="2"/>
            <w:shd w:val="clear" w:color="auto" w:fill="auto"/>
            <w:noWrap/>
            <w:vAlign w:val="bottom"/>
            <w:hideMark/>
          </w:tcPr>
          <w:p w:rsidR="00783020" w:rsidRPr="00783020" w:rsidRDefault="00783020" w:rsidP="00783020">
            <w:pPr>
              <w:pStyle w:val="tablecopy"/>
              <w:jc w:val="end"/>
            </w:pPr>
            <w:r w:rsidRPr="00783020">
              <w:t>128</w:t>
            </w:r>
          </w:p>
        </w:tc>
        <w:tc>
          <w:tcPr>
            <w:tcW w:w="5.3%" w:type="pct"/>
            <w:gridSpan w:val="2"/>
            <w:shd w:val="clear" w:color="auto" w:fill="auto"/>
            <w:noWrap/>
            <w:vAlign w:val="bottom"/>
            <w:hideMark/>
          </w:tcPr>
          <w:p w:rsidR="00783020" w:rsidRPr="00783020" w:rsidRDefault="00783020" w:rsidP="00783020">
            <w:pPr>
              <w:pStyle w:val="tablecopy"/>
              <w:jc w:val="end"/>
            </w:pPr>
            <w:r w:rsidRPr="00783020">
              <w:t>128</w:t>
            </w:r>
          </w:p>
        </w:tc>
        <w:tc>
          <w:tcPr>
            <w:tcW w:w="9.68%" w:type="pct"/>
            <w:gridSpan w:val="3"/>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Adagrad</w:t>
            </w:r>
          </w:p>
        </w:tc>
        <w:tc>
          <w:tcPr>
            <w:tcW w:w="5.62%" w:type="pct"/>
            <w:gridSpan w:val="3"/>
            <w:shd w:val="clear" w:color="auto" w:fill="auto"/>
            <w:noWrap/>
            <w:vAlign w:val="bottom"/>
            <w:hideMark/>
          </w:tcPr>
          <w:p w:rsidR="00783020" w:rsidRPr="00783020" w:rsidRDefault="00783020" w:rsidP="00783020">
            <w:pPr>
              <w:pStyle w:val="tablecopy"/>
              <w:jc w:val="end"/>
            </w:pPr>
            <w:r w:rsidRPr="00783020">
              <w:t>0.047</w:t>
            </w:r>
          </w:p>
        </w:tc>
        <w:tc>
          <w:tcPr>
            <w:tcW w:w="6.86%" w:type="pct"/>
            <w:gridSpan w:val="2"/>
            <w:shd w:val="clear" w:color="auto" w:fill="auto"/>
            <w:noWrap/>
            <w:vAlign w:val="bottom"/>
            <w:hideMark/>
          </w:tcPr>
          <w:p w:rsidR="00783020" w:rsidRPr="00783020" w:rsidRDefault="00783020" w:rsidP="00783020">
            <w:pPr>
              <w:pStyle w:val="tablecopy"/>
              <w:jc w:val="end"/>
            </w:pPr>
            <w:r w:rsidRPr="00783020">
              <w:t>2.4e-05</w:t>
            </w:r>
          </w:p>
        </w:tc>
        <w:tc>
          <w:tcPr>
            <w:tcW w:w="6.42%" w:type="pct"/>
            <w:shd w:val="clear" w:color="auto" w:fill="auto"/>
            <w:noWrap/>
            <w:vAlign w:val="bottom"/>
            <w:hideMark/>
          </w:tcPr>
          <w:p w:rsidR="00783020" w:rsidRPr="00783020" w:rsidRDefault="00783020" w:rsidP="00783020">
            <w:pPr>
              <w:pStyle w:val="tablecopy"/>
              <w:jc w:val="end"/>
            </w:pPr>
            <w:r w:rsidRPr="00783020">
              <w:t>0.0001</w:t>
            </w:r>
          </w:p>
        </w:tc>
        <w:tc>
          <w:tcPr>
            <w:tcW w:w="6.96%" w:type="pct"/>
            <w:shd w:val="clear" w:color="auto" w:fill="auto"/>
            <w:noWrap/>
            <w:vAlign w:val="bottom"/>
            <w:hideMark/>
          </w:tcPr>
          <w:p w:rsidR="00783020" w:rsidRPr="00783020" w:rsidRDefault="00783020" w:rsidP="00783020">
            <w:pPr>
              <w:pStyle w:val="tablecopy"/>
              <w:jc w:val="end"/>
            </w:pPr>
            <w:r w:rsidRPr="00783020">
              <w:t>73.5</w:t>
            </w:r>
          </w:p>
        </w:tc>
        <w:tc>
          <w:tcPr>
            <w:tcW w:w="8.52%" w:type="pct"/>
            <w:gridSpan w:val="2"/>
            <w:shd w:val="clear" w:color="auto" w:fill="auto"/>
            <w:noWrap/>
            <w:vAlign w:val="bottom"/>
            <w:hideMark/>
          </w:tcPr>
          <w:p w:rsidR="00783020" w:rsidRPr="00783020" w:rsidRDefault="00783020" w:rsidP="00783020">
            <w:pPr>
              <w:pStyle w:val="tablecopy"/>
              <w:jc w:val="end"/>
            </w:pPr>
            <w:r w:rsidRPr="00783020">
              <w:t>1</w:t>
            </w:r>
          </w:p>
        </w:tc>
        <w:tc>
          <w:tcPr>
            <w:tcW w:w="4.98%" w:type="pct"/>
            <w:vAlign w:val="bottom"/>
          </w:tcPr>
          <w:p w:rsidR="00783020" w:rsidRPr="00783020" w:rsidRDefault="00783020" w:rsidP="00783020">
            <w:pPr>
              <w:pStyle w:val="tablecopy"/>
              <w:jc w:val="end"/>
            </w:pPr>
            <w:r w:rsidRPr="00783020">
              <w:t>71.5</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72.1</w:t>
            </w:r>
          </w:p>
        </w:tc>
        <w:tc>
          <w:tcPr>
            <w:tcW w:w="5.5%" w:type="pct"/>
            <w:tcBorders>
              <w:top w:val="nil"/>
              <w:start w:val="nil"/>
              <w:bottom w:val="nil"/>
              <w:end w:val="nil"/>
            </w:tcBorders>
            <w:vAlign w:val="bottom"/>
          </w:tcPr>
          <w:p w:rsidR="00783020" w:rsidRPr="00783020" w:rsidRDefault="00783020" w:rsidP="00783020">
            <w:pPr>
              <w:jc w:val="end"/>
              <w:rPr>
                <w:rFonts w:eastAsia="Times New Roman"/>
                <w:color w:val="000000"/>
                <w:sz w:val="16"/>
                <w:szCs w:val="16"/>
              </w:rPr>
            </w:pPr>
            <w:r w:rsidRPr="00783020">
              <w:rPr>
                <w:color w:val="000000"/>
                <w:sz w:val="16"/>
                <w:szCs w:val="16"/>
              </w:rPr>
              <w:t>71.9</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tcPr>
          <w:p w:rsidR="00783020" w:rsidRPr="00783020" w:rsidRDefault="00783020" w:rsidP="00783020">
            <w:pPr>
              <w:pStyle w:val="tablecolhead"/>
            </w:pPr>
          </w:p>
        </w:tc>
        <w:tc>
          <w:tcPr>
            <w:tcW w:w="11.44%" w:type="pct"/>
            <w:gridSpan w:val="2"/>
            <w:shd w:val="clear" w:color="auto" w:fill="auto"/>
            <w:noWrap/>
            <w:vAlign w:val="center"/>
          </w:tcPr>
          <w:p w:rsidR="00783020" w:rsidRPr="00783020" w:rsidRDefault="00783020" w:rsidP="00783020">
            <w:pPr>
              <w:pStyle w:val="tablecolhead"/>
            </w:pPr>
            <w:r w:rsidRPr="00783020">
              <w:t>D-GRU (2L)</w:t>
            </w:r>
          </w:p>
        </w:tc>
        <w:tc>
          <w:tcPr>
            <w:tcW w:w="4.52%" w:type="pct"/>
            <w:gridSpan w:val="2"/>
            <w:shd w:val="clear" w:color="auto" w:fill="auto"/>
            <w:noWrap/>
            <w:vAlign w:val="center"/>
          </w:tcPr>
          <w:p w:rsidR="00783020" w:rsidRPr="00783020" w:rsidRDefault="00783020" w:rsidP="00783020">
            <w:pPr>
              <w:pStyle w:val="tablecopy"/>
              <w:jc w:val="end"/>
            </w:pPr>
            <w:r w:rsidRPr="00783020">
              <w:t>128</w:t>
            </w:r>
          </w:p>
        </w:tc>
        <w:tc>
          <w:tcPr>
            <w:tcW w:w="5.3%" w:type="pct"/>
            <w:gridSpan w:val="2"/>
            <w:shd w:val="clear" w:color="auto" w:fill="auto"/>
            <w:noWrap/>
            <w:vAlign w:val="center"/>
          </w:tcPr>
          <w:p w:rsidR="00783020" w:rsidRPr="00783020" w:rsidRDefault="00783020" w:rsidP="00783020">
            <w:pPr>
              <w:pStyle w:val="tablecopy"/>
              <w:jc w:val="end"/>
            </w:pPr>
            <w:r w:rsidRPr="00783020">
              <w:t>64</w:t>
            </w:r>
          </w:p>
        </w:tc>
        <w:tc>
          <w:tcPr>
            <w:tcW w:w="9.68%" w:type="pct"/>
            <w:gridSpan w:val="3"/>
            <w:shd w:val="clear" w:color="auto" w:fill="auto"/>
            <w:noWrap/>
            <w:vAlign w:val="center"/>
          </w:tcPr>
          <w:p w:rsidR="00783020" w:rsidRPr="00783020" w:rsidRDefault="00783020" w:rsidP="00783020">
            <w:pPr>
              <w:rPr>
                <w:rFonts w:eastAsia="Times New Roman"/>
                <w:color w:val="000000"/>
                <w:sz w:val="16"/>
                <w:szCs w:val="16"/>
              </w:rPr>
            </w:pPr>
            <w:r w:rsidRPr="00783020">
              <w:rPr>
                <w:color w:val="000000"/>
                <w:sz w:val="16"/>
                <w:szCs w:val="16"/>
              </w:rPr>
              <w:t>Adagrad</w:t>
            </w:r>
          </w:p>
        </w:tc>
        <w:tc>
          <w:tcPr>
            <w:tcW w:w="5.62%" w:type="pct"/>
            <w:gridSpan w:val="3"/>
            <w:shd w:val="clear" w:color="auto" w:fill="auto"/>
            <w:noWrap/>
            <w:vAlign w:val="bottom"/>
          </w:tcPr>
          <w:p w:rsidR="00783020" w:rsidRPr="00783020" w:rsidRDefault="00783020" w:rsidP="00783020">
            <w:pPr>
              <w:pStyle w:val="tablecopy"/>
              <w:jc w:val="end"/>
            </w:pPr>
            <w:r w:rsidRPr="00783020">
              <w:t>0.077</w:t>
            </w:r>
          </w:p>
        </w:tc>
        <w:tc>
          <w:tcPr>
            <w:tcW w:w="6.86%" w:type="pct"/>
            <w:gridSpan w:val="2"/>
            <w:shd w:val="clear" w:color="auto" w:fill="auto"/>
            <w:noWrap/>
            <w:vAlign w:val="bottom"/>
          </w:tcPr>
          <w:p w:rsidR="00783020" w:rsidRPr="00783020" w:rsidRDefault="00783020" w:rsidP="00783020">
            <w:pPr>
              <w:pStyle w:val="tablecopy"/>
              <w:jc w:val="end"/>
            </w:pPr>
            <w:r w:rsidRPr="00783020">
              <w:t>0.0013</w:t>
            </w:r>
          </w:p>
        </w:tc>
        <w:tc>
          <w:tcPr>
            <w:tcW w:w="6.42%" w:type="pct"/>
            <w:shd w:val="clear" w:color="auto" w:fill="auto"/>
            <w:noWrap/>
            <w:vAlign w:val="bottom"/>
          </w:tcPr>
          <w:p w:rsidR="00783020" w:rsidRPr="00783020" w:rsidRDefault="00783020" w:rsidP="00783020">
            <w:pPr>
              <w:pStyle w:val="tablecopy"/>
              <w:jc w:val="end"/>
            </w:pPr>
            <w:r w:rsidRPr="00783020">
              <w:t>1e-07</w:t>
            </w:r>
          </w:p>
        </w:tc>
        <w:tc>
          <w:tcPr>
            <w:tcW w:w="6.96%" w:type="pct"/>
            <w:shd w:val="clear" w:color="auto" w:fill="auto"/>
            <w:noWrap/>
            <w:vAlign w:val="bottom"/>
          </w:tcPr>
          <w:p w:rsidR="00783020" w:rsidRPr="00783020" w:rsidRDefault="00783020" w:rsidP="00783020">
            <w:pPr>
              <w:pStyle w:val="tablecopy"/>
              <w:jc w:val="end"/>
            </w:pPr>
            <w:r w:rsidRPr="00783020">
              <w:t>74.5</w:t>
            </w:r>
          </w:p>
        </w:tc>
        <w:tc>
          <w:tcPr>
            <w:tcW w:w="8.52%" w:type="pct"/>
            <w:gridSpan w:val="2"/>
            <w:shd w:val="clear" w:color="auto" w:fill="auto"/>
            <w:noWrap/>
            <w:vAlign w:val="bottom"/>
          </w:tcPr>
          <w:p w:rsidR="00783020" w:rsidRPr="00783020" w:rsidRDefault="00783020" w:rsidP="00783020">
            <w:pPr>
              <w:pStyle w:val="tablecopy"/>
              <w:jc w:val="end"/>
            </w:pPr>
            <w:r w:rsidRPr="00783020">
              <w:t>6</w:t>
            </w:r>
          </w:p>
        </w:tc>
        <w:tc>
          <w:tcPr>
            <w:tcW w:w="4.98%" w:type="pct"/>
            <w:vAlign w:val="bottom"/>
          </w:tcPr>
          <w:p w:rsidR="00783020" w:rsidRPr="00783020" w:rsidRDefault="00783020" w:rsidP="00783020">
            <w:pPr>
              <w:pStyle w:val="tablecopy"/>
              <w:jc w:val="end"/>
            </w:pPr>
            <w:r w:rsidRPr="00783020">
              <w:t>73.5</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74.6</w:t>
            </w:r>
          </w:p>
        </w:tc>
        <w:tc>
          <w:tcPr>
            <w:tcW w:w="5.5%" w:type="pct"/>
            <w:tcBorders>
              <w:top w:val="nil"/>
              <w:start w:val="nil"/>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74.2</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tcPr>
          <w:p w:rsidR="00783020" w:rsidRPr="00783020" w:rsidRDefault="00783020" w:rsidP="00783020">
            <w:pPr>
              <w:pStyle w:val="tablecolhead"/>
            </w:pPr>
          </w:p>
        </w:tc>
        <w:tc>
          <w:tcPr>
            <w:tcW w:w="11.44%" w:type="pct"/>
            <w:gridSpan w:val="2"/>
            <w:shd w:val="clear" w:color="auto" w:fill="auto"/>
            <w:noWrap/>
            <w:vAlign w:val="center"/>
          </w:tcPr>
          <w:p w:rsidR="00783020" w:rsidRPr="00783020" w:rsidRDefault="00783020" w:rsidP="00783020">
            <w:pPr>
              <w:pStyle w:val="tablecolhead"/>
            </w:pPr>
            <w:r w:rsidRPr="00783020">
              <w:t>D-LSTM (2L)</w:t>
            </w:r>
          </w:p>
        </w:tc>
        <w:tc>
          <w:tcPr>
            <w:tcW w:w="4.52%" w:type="pct"/>
            <w:gridSpan w:val="2"/>
            <w:shd w:val="clear" w:color="auto" w:fill="auto"/>
            <w:noWrap/>
            <w:vAlign w:val="center"/>
          </w:tcPr>
          <w:p w:rsidR="00783020" w:rsidRPr="00783020" w:rsidRDefault="00783020" w:rsidP="00783020">
            <w:pPr>
              <w:pStyle w:val="tablecopy"/>
              <w:jc w:val="end"/>
            </w:pPr>
            <w:r w:rsidRPr="00783020">
              <w:t>128</w:t>
            </w:r>
          </w:p>
        </w:tc>
        <w:tc>
          <w:tcPr>
            <w:tcW w:w="5.3%" w:type="pct"/>
            <w:gridSpan w:val="2"/>
            <w:shd w:val="clear" w:color="auto" w:fill="auto"/>
            <w:noWrap/>
            <w:vAlign w:val="center"/>
          </w:tcPr>
          <w:p w:rsidR="00783020" w:rsidRPr="00783020" w:rsidRDefault="00783020" w:rsidP="00783020">
            <w:pPr>
              <w:pStyle w:val="tablecopy"/>
              <w:jc w:val="end"/>
            </w:pPr>
            <w:r w:rsidRPr="00783020">
              <w:t>128</w:t>
            </w:r>
          </w:p>
        </w:tc>
        <w:tc>
          <w:tcPr>
            <w:tcW w:w="9.68%" w:type="pct"/>
            <w:gridSpan w:val="3"/>
            <w:shd w:val="clear" w:color="auto" w:fill="auto"/>
            <w:noWrap/>
            <w:vAlign w:val="center"/>
          </w:tcPr>
          <w:p w:rsidR="00783020" w:rsidRPr="00783020" w:rsidRDefault="00783020" w:rsidP="00783020">
            <w:pPr>
              <w:rPr>
                <w:rFonts w:eastAsia="Times New Roman"/>
                <w:color w:val="000000"/>
                <w:sz w:val="16"/>
                <w:szCs w:val="16"/>
              </w:rPr>
            </w:pPr>
            <w:r w:rsidRPr="00783020">
              <w:rPr>
                <w:color w:val="000000"/>
                <w:sz w:val="16"/>
                <w:szCs w:val="16"/>
              </w:rPr>
              <w:t>Adadelta</w:t>
            </w:r>
          </w:p>
        </w:tc>
        <w:tc>
          <w:tcPr>
            <w:tcW w:w="5.62%" w:type="pct"/>
            <w:gridSpan w:val="3"/>
            <w:shd w:val="clear" w:color="auto" w:fill="auto"/>
            <w:noWrap/>
            <w:vAlign w:val="bottom"/>
          </w:tcPr>
          <w:p w:rsidR="00783020" w:rsidRPr="00783020" w:rsidRDefault="00783020" w:rsidP="00783020">
            <w:pPr>
              <w:pStyle w:val="tablecopy"/>
              <w:jc w:val="end"/>
            </w:pPr>
            <w:r w:rsidRPr="00783020">
              <w:t>1</w:t>
            </w:r>
          </w:p>
        </w:tc>
        <w:tc>
          <w:tcPr>
            <w:tcW w:w="6.86%" w:type="pct"/>
            <w:gridSpan w:val="2"/>
            <w:shd w:val="clear" w:color="auto" w:fill="auto"/>
            <w:noWrap/>
            <w:vAlign w:val="bottom"/>
          </w:tcPr>
          <w:p w:rsidR="00783020" w:rsidRPr="00783020" w:rsidRDefault="00783020" w:rsidP="00783020">
            <w:pPr>
              <w:pStyle w:val="tablecopy"/>
              <w:jc w:val="end"/>
            </w:pPr>
            <w:r w:rsidRPr="00783020">
              <w:t>0.0018</w:t>
            </w:r>
          </w:p>
        </w:tc>
        <w:tc>
          <w:tcPr>
            <w:tcW w:w="6.42%" w:type="pct"/>
            <w:shd w:val="clear" w:color="auto" w:fill="auto"/>
            <w:noWrap/>
            <w:vAlign w:val="bottom"/>
          </w:tcPr>
          <w:p w:rsidR="00783020" w:rsidRPr="00783020" w:rsidRDefault="00783020" w:rsidP="00783020">
            <w:pPr>
              <w:pStyle w:val="tablecopy"/>
              <w:jc w:val="end"/>
            </w:pPr>
            <w:r w:rsidRPr="00783020">
              <w:t>0.0001</w:t>
            </w:r>
          </w:p>
        </w:tc>
        <w:tc>
          <w:tcPr>
            <w:tcW w:w="6.96%" w:type="pct"/>
            <w:shd w:val="clear" w:color="auto" w:fill="auto"/>
            <w:noWrap/>
            <w:vAlign w:val="bottom"/>
          </w:tcPr>
          <w:p w:rsidR="00783020" w:rsidRPr="00783020" w:rsidRDefault="00783020" w:rsidP="00783020">
            <w:pPr>
              <w:pStyle w:val="tablecopy"/>
              <w:jc w:val="end"/>
            </w:pPr>
            <w:r w:rsidRPr="00783020">
              <w:t>75.1</w:t>
            </w:r>
          </w:p>
        </w:tc>
        <w:tc>
          <w:tcPr>
            <w:tcW w:w="8.52%" w:type="pct"/>
            <w:gridSpan w:val="2"/>
            <w:shd w:val="clear" w:color="auto" w:fill="auto"/>
            <w:noWrap/>
            <w:vAlign w:val="bottom"/>
          </w:tcPr>
          <w:p w:rsidR="00783020" w:rsidRPr="00783020" w:rsidRDefault="00783020" w:rsidP="00783020">
            <w:pPr>
              <w:pStyle w:val="tablecopy"/>
              <w:jc w:val="end"/>
            </w:pPr>
            <w:r w:rsidRPr="00783020">
              <w:t>20</w:t>
            </w:r>
          </w:p>
        </w:tc>
        <w:tc>
          <w:tcPr>
            <w:tcW w:w="4.98%" w:type="pct"/>
            <w:vAlign w:val="bottom"/>
          </w:tcPr>
          <w:p w:rsidR="00783020" w:rsidRPr="00783020" w:rsidRDefault="00783020" w:rsidP="00783020">
            <w:pPr>
              <w:pStyle w:val="tablecopy"/>
              <w:jc w:val="end"/>
            </w:pPr>
            <w:r w:rsidRPr="00783020">
              <w:t>72.8</w:t>
            </w:r>
          </w:p>
        </w:tc>
        <w:tc>
          <w:tcPr>
            <w:tcW w:w="8.94%" w:type="pct"/>
            <w:gridSpan w:val="2"/>
            <w:tcBorders>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70.2</w:t>
            </w:r>
          </w:p>
        </w:tc>
        <w:tc>
          <w:tcPr>
            <w:tcW w:w="5.5%" w:type="pct"/>
            <w:tcBorders>
              <w:top w:val="nil"/>
              <w:start w:val="nil"/>
              <w:end w:val="nil"/>
            </w:tcBorders>
            <w:vAlign w:val="bottom"/>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70</w:t>
            </w:r>
          </w:p>
        </w:tc>
      </w:tr>
      <w:tr w:rsidR="00783020" w:rsidRPr="00783020" w:rsidTr="00783020">
        <w:trPr>
          <w:trHeight w:val="288"/>
        </w:trPr>
        <w:tc>
          <w:tcPr>
            <w:tcW w:w="15.26%" w:type="pct"/>
            <w:vMerge/>
            <w:tcBorders>
              <w:start w:val="nil"/>
              <w:bottom w:val="single" w:sz="4" w:space="0" w:color="auto"/>
            </w:tcBorders>
            <w:shd w:val="clear" w:color="auto" w:fill="auto"/>
            <w:noWrap/>
            <w:vAlign w:val="bottom"/>
            <w:hideMark/>
          </w:tcPr>
          <w:p w:rsidR="00783020" w:rsidRPr="00783020" w:rsidRDefault="00783020" w:rsidP="00783020">
            <w:pPr>
              <w:pStyle w:val="tablecolhead"/>
            </w:pPr>
          </w:p>
        </w:tc>
        <w:tc>
          <w:tcPr>
            <w:tcW w:w="11.44%" w:type="pct"/>
            <w:gridSpan w:val="2"/>
            <w:tcBorders>
              <w:bottom w:val="single" w:sz="4" w:space="0" w:color="auto"/>
            </w:tcBorders>
            <w:shd w:val="clear" w:color="auto" w:fill="auto"/>
            <w:noWrap/>
            <w:vAlign w:val="bottom"/>
            <w:hideMark/>
          </w:tcPr>
          <w:p w:rsidR="00783020" w:rsidRPr="00783020" w:rsidRDefault="00783020" w:rsidP="00783020">
            <w:pPr>
              <w:pStyle w:val="tablecolhead"/>
            </w:pPr>
            <w:r w:rsidRPr="00783020">
              <w:t>RETAIN</w:t>
            </w:r>
          </w:p>
        </w:tc>
        <w:tc>
          <w:tcPr>
            <w:tcW w:w="4.52%"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5.3%"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128</w:t>
            </w:r>
          </w:p>
        </w:tc>
        <w:tc>
          <w:tcPr>
            <w:tcW w:w="9.68%" w:type="pct"/>
            <w:gridSpan w:val="3"/>
            <w:tcBorders>
              <w:bottom w:val="single" w:sz="4" w:space="0" w:color="auto"/>
            </w:tcBorders>
            <w:shd w:val="clear" w:color="auto" w:fill="auto"/>
            <w:noWrap/>
            <w:vAlign w:val="bottom"/>
            <w:hideMark/>
          </w:tcPr>
          <w:p w:rsidR="00783020" w:rsidRPr="00783020" w:rsidRDefault="00783020" w:rsidP="00783020">
            <w:pPr>
              <w:rPr>
                <w:rFonts w:eastAsia="Times New Roman"/>
                <w:color w:val="000000"/>
                <w:sz w:val="16"/>
                <w:szCs w:val="16"/>
              </w:rPr>
            </w:pPr>
            <w:r w:rsidRPr="00783020">
              <w:rPr>
                <w:rFonts w:eastAsia="Times New Roman"/>
                <w:color w:val="000000"/>
                <w:sz w:val="16"/>
                <w:szCs w:val="16"/>
              </w:rPr>
              <w:t>Adadelta</w:t>
            </w:r>
          </w:p>
        </w:tc>
        <w:tc>
          <w:tcPr>
            <w:tcW w:w="5.62%" w:type="pct"/>
            <w:gridSpan w:val="3"/>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1</w:t>
            </w:r>
          </w:p>
        </w:tc>
        <w:tc>
          <w:tcPr>
            <w:tcW w:w="6.86%"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0.0001</w:t>
            </w:r>
          </w:p>
        </w:tc>
        <w:tc>
          <w:tcPr>
            <w:tcW w:w="6.42%" w:type="pct"/>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w:t>
            </w:r>
          </w:p>
        </w:tc>
        <w:tc>
          <w:tcPr>
            <w:tcW w:w="6.96%" w:type="pct"/>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71.9</w:t>
            </w:r>
          </w:p>
        </w:tc>
        <w:tc>
          <w:tcPr>
            <w:tcW w:w="8.52%" w:type="pct"/>
            <w:gridSpan w:val="2"/>
            <w:tcBorders>
              <w:bottom w:val="single" w:sz="4" w:space="0" w:color="auto"/>
            </w:tcBorders>
            <w:shd w:val="clear" w:color="auto" w:fill="auto"/>
            <w:noWrap/>
            <w:vAlign w:val="bottom"/>
            <w:hideMark/>
          </w:tcPr>
          <w:p w:rsidR="00783020" w:rsidRPr="00783020" w:rsidRDefault="00783020" w:rsidP="00783020">
            <w:pPr>
              <w:pStyle w:val="tablecopy"/>
              <w:jc w:val="end"/>
            </w:pPr>
            <w:r w:rsidRPr="00783020">
              <w:t>9</w:t>
            </w:r>
          </w:p>
        </w:tc>
        <w:tc>
          <w:tcPr>
            <w:tcW w:w="4.98%" w:type="pct"/>
            <w:tcBorders>
              <w:bottom w:val="single" w:sz="4" w:space="0" w:color="auto"/>
            </w:tcBorders>
            <w:vAlign w:val="bottom"/>
          </w:tcPr>
          <w:p w:rsidR="00783020" w:rsidRPr="00783020" w:rsidRDefault="00783020" w:rsidP="00783020">
            <w:pPr>
              <w:pStyle w:val="tablecopy"/>
              <w:jc w:val="end"/>
            </w:pPr>
            <w:r w:rsidRPr="00783020">
              <w:t>70.1</w:t>
            </w:r>
          </w:p>
        </w:tc>
        <w:tc>
          <w:tcPr>
            <w:tcW w:w="8.94%" w:type="pct"/>
            <w:gridSpan w:val="2"/>
            <w:tcBorders>
              <w:bottom w:val="single" w:sz="4" w:space="0" w:color="auto"/>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75.8</w:t>
            </w:r>
          </w:p>
        </w:tc>
        <w:tc>
          <w:tcPr>
            <w:tcW w:w="5.5%" w:type="pct"/>
            <w:tcBorders>
              <w:top w:val="nil"/>
              <w:start w:val="nil"/>
              <w:bottom w:val="single" w:sz="4" w:space="0" w:color="auto"/>
              <w:end w:val="nil"/>
            </w:tcBorders>
            <w:vAlign w:val="bottom"/>
          </w:tcPr>
          <w:p w:rsidR="00783020" w:rsidRPr="00783020" w:rsidRDefault="00783020" w:rsidP="00783020">
            <w:pPr>
              <w:jc w:val="end"/>
              <w:rPr>
                <w:rFonts w:eastAsia="Times New Roman"/>
                <w:color w:val="000000"/>
                <w:sz w:val="16"/>
                <w:szCs w:val="16"/>
              </w:rPr>
            </w:pPr>
            <w:r w:rsidRPr="00783020">
              <w:rPr>
                <w:rFonts w:eastAsia="Times New Roman"/>
                <w:color w:val="000000"/>
                <w:sz w:val="16"/>
                <w:szCs w:val="16"/>
              </w:rPr>
              <w:t>76.3</w:t>
            </w:r>
          </w:p>
        </w:tc>
      </w:tr>
    </w:tbl>
    <w:p w:rsidR="00AC0EBA" w:rsidRDefault="00AC0EBA">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rsidP="00E96B60">
      <w:pPr>
        <w:pStyle w:val="BodyText"/>
      </w:pPr>
    </w:p>
    <w:p w:rsidR="00E96B60" w:rsidRDefault="00E96B60" w:rsidP="00E96B60">
      <w:pPr>
        <w:pStyle w:val="Heading5"/>
      </w:pPr>
      <w:r w:rsidRPr="0062293B">
        <w:lastRenderedPageBreak/>
        <w:drawing>
          <wp:anchor distT="0" distB="0" distL="114300" distR="114300" simplePos="0" relativeHeight="251688448" behindDoc="0" locked="0" layoutInCell="1" allowOverlap="1" wp14:anchorId="648A6148" wp14:editId="2BC2EC89">
            <wp:simplePos x="0" y="0"/>
            <wp:positionH relativeFrom="column">
              <wp:posOffset>14717395</wp:posOffset>
            </wp:positionH>
            <wp:positionV relativeFrom="paragraph">
              <wp:posOffset>13876655</wp:posOffset>
            </wp:positionV>
            <wp:extent cx="3089910" cy="1722755"/>
            <wp:effectExtent l="0" t="0" r="0" b="0"/>
            <wp:wrapNone/>
            <wp:docPr id="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pic:cNvPicPr>
                      <a:picLocks noChangeAspect="1"/>
                    </pic:cNvPicPr>
                  </pic:nvPicPr>
                  <pic:blipFill rotWithShape="1">
                    <a:blip r:embed="rId20" cstate="print">
                      <a:extLst>
                        <a:ext uri="{28A0092B-C50C-407E-A947-70E740481C1C}">
                          <a14:useLocalDpi xmlns:a14="http://schemas.microsoft.com/office/drawing/2010/main" val="0"/>
                        </a:ext>
                      </a:extLst>
                    </a:blip>
                    <a:srcRect t="1.761%" b="13.719%"/>
                    <a:stretch/>
                  </pic:blipFill>
                  <pic:spPr>
                    <a:xfrm>
                      <a:off x="0" y="0"/>
                      <a:ext cx="3089910" cy="1722755"/>
                    </a:xfrm>
                    <a:prstGeom prst="rect">
                      <a:avLst/>
                    </a:prstGeom>
                  </pic:spPr>
                </pic:pic>
              </a:graphicData>
            </a:graphic>
          </wp:anchor>
        </w:drawing>
      </w:r>
      <w:r w:rsidRPr="0062293B">
        <w:drawing>
          <wp:anchor distT="0" distB="0" distL="114300" distR="114300" simplePos="0" relativeHeight="251689472" behindDoc="0" locked="0" layoutInCell="1" allowOverlap="1" wp14:anchorId="6FF91464" wp14:editId="41902B40">
            <wp:simplePos x="0" y="0"/>
            <wp:positionH relativeFrom="column">
              <wp:posOffset>14250035</wp:posOffset>
            </wp:positionH>
            <wp:positionV relativeFrom="paragraph">
              <wp:posOffset>-541655</wp:posOffset>
            </wp:positionV>
            <wp:extent cx="3089910" cy="880745"/>
            <wp:effectExtent l="0" t="0" r="0" b="0"/>
            <wp:wrapNone/>
            <wp:docPr id="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pic:cNvPicPr>
                      <a:picLocks noChangeAspect="1"/>
                    </pic:cNvPicPr>
                  </pic:nvPicPr>
                  <pic:blipFill rotWithShape="1">
                    <a:blip r:embed="rId21" cstate="print">
                      <a:extLst>
                        <a:ext uri="{28A0092B-C50C-407E-A947-70E740481C1C}">
                          <a14:useLocalDpi xmlns:a14="http://schemas.microsoft.com/office/drawing/2010/main" val="0"/>
                        </a:ext>
                      </a:extLst>
                    </a:blip>
                    <a:srcRect l="13.216%" t="24.416%" r="9.642%" b="12.157%"/>
                    <a:stretch/>
                  </pic:blipFill>
                  <pic:spPr>
                    <a:xfrm>
                      <a:off x="0" y="0"/>
                      <a:ext cx="3089910" cy="880745"/>
                    </a:xfrm>
                    <a:prstGeom prst="rect">
                      <a:avLst/>
                    </a:prstGeom>
                  </pic:spPr>
                </pic:pic>
              </a:graphicData>
            </a:graphic>
          </wp:anchor>
        </w:drawing>
      </w:r>
      <w:r w:rsidRPr="0062293B">
        <w:drawing>
          <wp:anchor distT="0" distB="0" distL="114300" distR="114300" simplePos="0" relativeHeight="251690496" behindDoc="0" locked="0" layoutInCell="1" allowOverlap="1" wp14:anchorId="52D817E1" wp14:editId="47190694">
            <wp:simplePos x="0" y="0"/>
            <wp:positionH relativeFrom="column">
              <wp:posOffset>3325495</wp:posOffset>
            </wp:positionH>
            <wp:positionV relativeFrom="paragraph">
              <wp:posOffset>14041755</wp:posOffset>
            </wp:positionV>
            <wp:extent cx="3089910" cy="2466975"/>
            <wp:effectExtent l="0" t="0" r="0" b="9525"/>
            <wp:wrapNone/>
            <wp:docPr id="10" name="t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able"/>
                    <pic:cNvPicPr>
                      <a:picLocks noChangeAspect="1"/>
                    </pic:cNvPicPr>
                  </pic:nvPicPr>
                  <pic:blipFill>
                    <a:blip r:embed="rId22"/>
                    <a:stretch>
                      <a:fillRect/>
                    </a:stretch>
                  </pic:blipFill>
                  <pic:spPr>
                    <a:xfrm>
                      <a:off x="0" y="0"/>
                      <a:ext cx="3089910" cy="2466975"/>
                    </a:xfrm>
                    <a:prstGeom prst="rect">
                      <a:avLst/>
                    </a:prstGeom>
                  </pic:spPr>
                </pic:pic>
              </a:graphicData>
            </a:graphic>
          </wp:anchor>
        </w:drawing>
      </w:r>
      <w:r w:rsidRPr="005B520E">
        <w:t>Acknowledgment</w:t>
      </w:r>
      <w:r>
        <w:t xml:space="preserve"> </w:t>
      </w:r>
    </w:p>
    <w:p w:rsidR="00E96B60" w:rsidRPr="00783020" w:rsidRDefault="00E96B60" w:rsidP="00E96B60"/>
    <w:p w:rsidR="00E96B60" w:rsidRDefault="00E96B60" w:rsidP="00E96B60">
      <w:pPr>
        <w:pStyle w:val="BodyText"/>
        <w:rPr>
          <w:lang w:val="en-US"/>
        </w:rPr>
      </w:pPr>
      <w:r w:rsidRPr="0081075C">
        <w:rPr>
          <w:lang w:val="en-US"/>
        </w:rPr>
        <w:t xml:space="preserve">Thanks to </w:t>
      </w:r>
      <w:r>
        <w:rPr>
          <w:lang w:val="en-US"/>
        </w:rPr>
        <w:t>Dr.</w:t>
      </w:r>
      <w:r w:rsidRPr="0081075C">
        <w:rPr>
          <w:lang w:val="en-US"/>
        </w:rPr>
        <w:t>Luca Giancardo</w:t>
      </w:r>
      <w:r>
        <w:rPr>
          <w:lang w:val="en-US"/>
        </w:rPr>
        <w:t xml:space="preserve">, </w:t>
      </w:r>
      <w:r w:rsidRPr="0081075C">
        <w:rPr>
          <w:lang w:val="en-US"/>
        </w:rPr>
        <w:t>Dr. Susan Fenton and Dr. Degui Zhi for their guidance and support. Special Thanks for SBMI Data Service Center team who facilitate the data extraction</w:t>
      </w:r>
      <w:r>
        <w:rPr>
          <w:lang w:val="en-US"/>
        </w:rPr>
        <w:t xml:space="preserve">. </w:t>
      </w: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pacing w:val="-1"/>
          <w:lang w:eastAsia="x-none"/>
        </w:rPr>
      </w:pPr>
    </w:p>
    <w:p w:rsidR="00E96B60" w:rsidRDefault="00E96B60">
      <w:pPr>
        <w:jc w:val="start"/>
        <w:rPr>
          <w:smallCaps/>
          <w:noProof/>
        </w:rPr>
      </w:pPr>
      <w:r>
        <w:br w:type="page"/>
      </w:r>
    </w:p>
    <w:p w:rsidR="009303D9" w:rsidRDefault="009303D9" w:rsidP="00A059B3">
      <w:pPr>
        <w:pStyle w:val="Heading5"/>
      </w:pPr>
      <w:r w:rsidRPr="005B520E">
        <w:lastRenderedPageBreak/>
        <w:t>References</w:t>
      </w:r>
    </w:p>
    <w:p w:rsidR="0000768D" w:rsidRPr="0000768D" w:rsidRDefault="007B320C" w:rsidP="006B2C80">
      <w:pPr>
        <w:widowControl w:val="0"/>
        <w:autoSpaceDE w:val="0"/>
        <w:autoSpaceDN w:val="0"/>
        <w:adjustRightInd w:val="0"/>
        <w:spacing w:after="2pt" w:line="12pt" w:lineRule="exact"/>
        <w:ind w:start="32pt" w:hanging="32pt"/>
        <w:jc w:val="both"/>
        <w:rPr>
          <w:noProof/>
          <w:sz w:val="16"/>
          <w:szCs w:val="24"/>
        </w:rPr>
      </w:pPr>
      <w:r>
        <w:fldChar w:fldCharType="begin" w:fldLock="1"/>
      </w:r>
      <w:r>
        <w:instrText xml:space="preserve">ADDIN Mendeley Bibliography CSL_BIBLIOGRAPHY </w:instrText>
      </w:r>
      <w:r>
        <w:fldChar w:fldCharType="separate"/>
      </w:r>
      <w:r w:rsidR="0000768D" w:rsidRPr="0000768D">
        <w:rPr>
          <w:noProof/>
          <w:sz w:val="16"/>
          <w:szCs w:val="24"/>
        </w:rPr>
        <w:t>[1]</w:t>
      </w:r>
      <w:r w:rsidR="0000768D" w:rsidRPr="0000768D">
        <w:rPr>
          <w:noProof/>
          <w:sz w:val="16"/>
          <w:szCs w:val="24"/>
        </w:rPr>
        <w:tab/>
        <w:t xml:space="preserve">C. Xiao, E. Choi, and J. Sun, “Opportunities and challenges in developing deep learning models using electronic health records data: a systematic review,” </w:t>
      </w:r>
      <w:r w:rsidR="0000768D" w:rsidRPr="0000768D">
        <w:rPr>
          <w:i/>
          <w:iCs/>
          <w:noProof/>
          <w:sz w:val="16"/>
          <w:szCs w:val="24"/>
        </w:rPr>
        <w:t>J. Am. Med. Informatics Assoc.</w:t>
      </w:r>
      <w:r w:rsidR="0000768D" w:rsidRPr="0000768D">
        <w:rPr>
          <w:noProof/>
          <w:sz w:val="16"/>
          <w:szCs w:val="24"/>
        </w:rPr>
        <w:t>, Jun. 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w:t>
      </w:r>
      <w:r w:rsidRPr="0000768D">
        <w:rPr>
          <w:noProof/>
          <w:sz w:val="16"/>
          <w:szCs w:val="24"/>
        </w:rPr>
        <w:tab/>
        <w:t xml:space="preserve">A. Rajkomar </w:t>
      </w:r>
      <w:r w:rsidRPr="0000768D">
        <w:rPr>
          <w:i/>
          <w:iCs/>
          <w:noProof/>
          <w:sz w:val="16"/>
          <w:szCs w:val="24"/>
        </w:rPr>
        <w:t>et al.</w:t>
      </w:r>
      <w:r w:rsidRPr="0000768D">
        <w:rPr>
          <w:noProof/>
          <w:sz w:val="16"/>
          <w:szCs w:val="24"/>
        </w:rPr>
        <w:t xml:space="preserve">, “Scalable and accurate deep learning with electronic health records,” </w:t>
      </w:r>
      <w:r w:rsidRPr="0000768D">
        <w:rPr>
          <w:i/>
          <w:iCs/>
          <w:noProof/>
          <w:sz w:val="16"/>
          <w:szCs w:val="24"/>
        </w:rPr>
        <w:t>npj Digit. Med.</w:t>
      </w:r>
      <w:r w:rsidRPr="0000768D">
        <w:rPr>
          <w:noProof/>
          <w:sz w:val="16"/>
          <w:szCs w:val="24"/>
        </w:rPr>
        <w:t>, vol. 1, no. 1, p. 18, Dec. 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[3]</w:t>
      </w:r>
      <w:r w:rsidRPr="0000768D">
        <w:rPr>
          <w:noProof/>
          <w:sz w:val="16"/>
          <w:szCs w:val="24"/>
        </w:rPr>
        <w:tab/>
        <w:t xml:space="preserve">E. Choi, M. T. Bahadori, J. A. Kulas, A. Schuetz, W. F. Stewart, and J. Sun, “RETAIN: An Interpretable Predictive Model for Healthcare using Reverse Time Attention Mechanism,” </w:t>
      </w:r>
      <w:r w:rsidRPr="0000768D">
        <w:rPr>
          <w:i/>
          <w:iCs/>
          <w:noProof/>
          <w:sz w:val="16"/>
          <w:szCs w:val="24"/>
        </w:rPr>
        <w:t>Adv. Neural Inf. Process. Syst.</w:t>
      </w:r>
      <w:r w:rsidRPr="0000768D">
        <w:rPr>
          <w:noProof/>
          <w:sz w:val="16"/>
          <w:szCs w:val="24"/>
        </w:rPr>
        <w:t>, pp. 3504–3512, 2016.</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[4]</w:t>
      </w:r>
      <w:r w:rsidRPr="0000768D">
        <w:rPr>
          <w:noProof/>
          <w:sz w:val="16"/>
          <w:szCs w:val="24"/>
        </w:rPr>
        <w:tab/>
        <w:t xml:space="preserve">T. Lagu </w:t>
      </w:r>
      <w:r w:rsidRPr="0000768D">
        <w:rPr>
          <w:i/>
          <w:iCs/>
          <w:noProof/>
          <w:sz w:val="16"/>
          <w:szCs w:val="24"/>
        </w:rPr>
        <w:t>et al.</w:t>
      </w:r>
      <w:r w:rsidRPr="0000768D">
        <w:rPr>
          <w:noProof/>
          <w:sz w:val="16"/>
          <w:szCs w:val="24"/>
        </w:rPr>
        <w:t xml:space="preserve">, “Validation and Comparison of Seven Mortality Prediction Models for Hospitalized Patients With Acute Decompensated Heart Failure.,” </w:t>
      </w:r>
      <w:r w:rsidRPr="0000768D">
        <w:rPr>
          <w:i/>
          <w:iCs/>
          <w:noProof/>
          <w:sz w:val="16"/>
          <w:szCs w:val="24"/>
        </w:rPr>
        <w:t>Circ. Heart Fail.</w:t>
      </w:r>
      <w:r w:rsidRPr="0000768D">
        <w:rPr>
          <w:noProof/>
          <w:sz w:val="16"/>
          <w:szCs w:val="24"/>
        </w:rPr>
        <w:t>, vol. 9, no. 8, p. e002912, Aug. 2016.</w:t>
      </w:r>
    </w:p>
    <w:p w:rsid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[5]</w:t>
      </w:r>
      <w:r w:rsidRPr="0000768D">
        <w:rPr>
          <w:noProof/>
          <w:sz w:val="16"/>
          <w:szCs w:val="24"/>
        </w:rPr>
        <w:tab/>
        <w:t xml:space="preserve">E. Choi, M. T. Bahadori, A. Schuetz, W. F. Stewart, and J. Sun, “Doctor AI: Predicting Clinical Events via Recurrent Neural Networks.,” </w:t>
      </w:r>
      <w:r w:rsidRPr="0000768D">
        <w:rPr>
          <w:i/>
          <w:iCs/>
          <w:noProof/>
          <w:sz w:val="16"/>
          <w:szCs w:val="24"/>
        </w:rPr>
        <w:t>JMLR Workshop Conf. Proc.</w:t>
      </w:r>
      <w:r w:rsidRPr="0000768D">
        <w:rPr>
          <w:noProof/>
          <w:sz w:val="16"/>
          <w:szCs w:val="24"/>
        </w:rPr>
        <w:t>, vol. 56, pp. 301–318, Aug. 2016.</w:t>
      </w:r>
    </w:p>
    <w:p w:rsidR="00783020" w:rsidRPr="0000768D" w:rsidRDefault="00783020" w:rsidP="006B2C80">
      <w:pPr>
        <w:widowControl w:val="0"/>
        <w:autoSpaceDE w:val="0"/>
        <w:autoSpaceDN w:val="0"/>
        <w:adjustRightInd w:val="0"/>
        <w:spacing w:after="2pt" w:line="12pt" w:lineRule="exact"/>
        <w:ind w:start="32pt" w:hanging="32pt"/>
        <w:jc w:val="both"/>
        <w:rPr>
          <w:noProof/>
          <w:sz w:val="16"/>
          <w:szCs w:val="24"/>
        </w:rPr>
      </w:pP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[6]</w:t>
      </w:r>
      <w:r w:rsidRPr="0000768D">
        <w:rPr>
          <w:noProof/>
          <w:sz w:val="16"/>
          <w:szCs w:val="24"/>
        </w:rPr>
        <w:tab/>
        <w:t>X. Zhang, R. Henao, Z. Gan, Y. Li, and L. Carin, “Multi-Label Learning from Medical Plain Text with Convolutional Residual Models,” Jan. 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[7]</w:t>
      </w:r>
      <w:r w:rsidRPr="0000768D">
        <w:rPr>
          <w:noProof/>
          <w:sz w:val="16"/>
          <w:szCs w:val="24"/>
        </w:rPr>
        <w:tab/>
        <w:t xml:space="preserve">S. Hochreiter and J. J. Urgen Schmidhuber, “Long Short-Term Memory,” </w:t>
      </w:r>
      <w:r w:rsidRPr="0000768D">
        <w:rPr>
          <w:i/>
          <w:iCs/>
          <w:noProof/>
          <w:sz w:val="16"/>
          <w:szCs w:val="24"/>
        </w:rPr>
        <w:t>Mem. Neural Comput.</w:t>
      </w:r>
      <w:r w:rsidRPr="0000768D">
        <w:rPr>
          <w:noProof/>
          <w:sz w:val="16"/>
          <w:szCs w:val="24"/>
        </w:rPr>
        <w:t>, vol. 9, no. 8, pp. 1735–1780, 1997.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[8]</w:t>
      </w:r>
      <w:r w:rsidRPr="0000768D">
        <w:rPr>
          <w:noProof/>
          <w:sz w:val="16"/>
          <w:szCs w:val="24"/>
        </w:rPr>
        <w:tab/>
        <w:t xml:space="preserve">K. Cho </w:t>
      </w:r>
      <w:r w:rsidRPr="0000768D">
        <w:rPr>
          <w:i/>
          <w:iCs/>
          <w:noProof/>
          <w:sz w:val="16"/>
          <w:szCs w:val="24"/>
        </w:rPr>
        <w:t>et al.</w:t>
      </w:r>
      <w:r w:rsidRPr="0000768D">
        <w:rPr>
          <w:noProof/>
          <w:sz w:val="16"/>
          <w:szCs w:val="24"/>
        </w:rPr>
        <w:t>, “Learning Phrase Representations using RNN Encoder-Decoder for Statistical Machine Translation.”</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[9]</w:t>
      </w:r>
      <w:r w:rsidRPr="0000768D">
        <w:rPr>
          <w:noProof/>
          <w:sz w:val="16"/>
          <w:szCs w:val="24"/>
        </w:rPr>
        <w:tab/>
        <w:t xml:space="preserve">B. Shickel, P. J. Tighe, A. Bihorac, and P. Rashidi, “Deep EHR: A Survey of Recent Advances in Deep Learning Techniques for Electronic Health Record (EHR) Analysis,” </w:t>
      </w:r>
      <w:r w:rsidRPr="0000768D">
        <w:rPr>
          <w:i/>
          <w:iCs/>
          <w:noProof/>
          <w:sz w:val="16"/>
          <w:szCs w:val="24"/>
        </w:rPr>
        <w:t>IEEE J. Biomed. Heal. Informatics</w:t>
      </w:r>
      <w:r w:rsidRPr="0000768D">
        <w:rPr>
          <w:noProof/>
          <w:sz w:val="16"/>
          <w:szCs w:val="24"/>
        </w:rPr>
        <w:t>, pp. 1–1,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[10]</w:t>
      </w:r>
      <w:r w:rsidRPr="0000768D">
        <w:rPr>
          <w:noProof/>
          <w:sz w:val="16"/>
          <w:szCs w:val="24"/>
        </w:rPr>
        <w:tab/>
        <w:t xml:space="preserve">R. Miotto, F. Wang, S. Wang, X. Jiang, and J. T. Dudley, “Deep learning for healthcare: review, opportunities and challenges,” </w:t>
      </w:r>
      <w:r w:rsidRPr="0000768D">
        <w:rPr>
          <w:i/>
          <w:iCs/>
          <w:noProof/>
          <w:sz w:val="16"/>
          <w:szCs w:val="24"/>
        </w:rPr>
        <w:t>Brief. Bioinform.</w:t>
      </w:r>
      <w:r w:rsidRPr="0000768D">
        <w:rPr>
          <w:noProof/>
          <w:sz w:val="16"/>
          <w:szCs w:val="24"/>
        </w:rPr>
        <w:t>, May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[11]</w:t>
      </w:r>
      <w:r w:rsidRPr="0000768D">
        <w:rPr>
          <w:noProof/>
          <w:sz w:val="16"/>
          <w:szCs w:val="24"/>
        </w:rPr>
        <w:tab/>
        <w:t>H. Harutyunyan, H. Khachatrian, D. C. Kale, and A. Galstyan, “Multitask Learning and Benchmarking with Clinical Time Series Data,” Mar.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[12]</w:t>
      </w:r>
      <w:r w:rsidRPr="0000768D">
        <w:rPr>
          <w:noProof/>
          <w:sz w:val="16"/>
          <w:szCs w:val="24"/>
        </w:rPr>
        <w:tab/>
        <w:t xml:space="preserve">S. Purushotham, C. Meng, Z. Che, and Y. Liu, “Benchmarking deep learning models on large healthcare datasets,” </w:t>
      </w:r>
      <w:r w:rsidRPr="0000768D">
        <w:rPr>
          <w:i/>
          <w:iCs/>
          <w:noProof/>
          <w:sz w:val="16"/>
          <w:szCs w:val="24"/>
        </w:rPr>
        <w:t>J. Biomed. Inform.</w:t>
      </w:r>
      <w:r w:rsidRPr="0000768D">
        <w:rPr>
          <w:noProof/>
          <w:sz w:val="16"/>
          <w:szCs w:val="24"/>
        </w:rPr>
        <w:t>, vol. 83, pp. 112–134, Jul. 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[13]</w:t>
      </w:r>
      <w:r w:rsidRPr="0000768D">
        <w:rPr>
          <w:noProof/>
          <w:sz w:val="16"/>
          <w:szCs w:val="24"/>
        </w:rPr>
        <w:tab/>
        <w:t>Z. Che, S. Purushotham, K. Cho, D. Sontag, and Y. Liu, “Recurrent Neural Networks for Multivariate Time Series with Missing Values,” Jun. 2016.</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[14]</w:t>
      </w:r>
      <w:r w:rsidRPr="0000768D">
        <w:rPr>
          <w:noProof/>
          <w:sz w:val="16"/>
          <w:szCs w:val="24"/>
        </w:rPr>
        <w:tab/>
        <w:t xml:space="preserve">L. Rasmy </w:t>
      </w:r>
      <w:r w:rsidRPr="0000768D">
        <w:rPr>
          <w:i/>
          <w:iCs/>
          <w:noProof/>
          <w:sz w:val="16"/>
          <w:szCs w:val="24"/>
        </w:rPr>
        <w:t>et al.</w:t>
      </w:r>
      <w:r w:rsidRPr="0000768D">
        <w:rPr>
          <w:noProof/>
          <w:sz w:val="16"/>
          <w:szCs w:val="24"/>
        </w:rPr>
        <w:t xml:space="preserve">, “A study of generalizability of recurrent neural network-based predictive models for heart failure onset risk using a large and heterogeneous EHR data set,” </w:t>
      </w:r>
      <w:r w:rsidRPr="0000768D">
        <w:rPr>
          <w:i/>
          <w:iCs/>
          <w:noProof/>
          <w:sz w:val="16"/>
          <w:szCs w:val="24"/>
        </w:rPr>
        <w:t>J. Biomed. Inform.</w:t>
      </w:r>
      <w:r w:rsidRPr="0000768D">
        <w:rPr>
          <w:noProof/>
          <w:sz w:val="16"/>
          <w:szCs w:val="24"/>
        </w:rPr>
        <w:t>, vol. 84, 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[15]</w:t>
      </w:r>
      <w:r w:rsidRPr="0000768D">
        <w:rPr>
          <w:noProof/>
          <w:sz w:val="16"/>
          <w:szCs w:val="24"/>
        </w:rPr>
        <w:tab/>
        <w:t>“QualityNet - Readmission Measures.” [Online]. Available: http://www.qualitynet.org/dcs/ContentServer?c=Page&amp;pagename=QnetPublic%2FPage%2FQnetTier2&amp;cid=1219069855273</w:t>
      </w:r>
      <w:r w:rsidRPr="0000768D">
        <w:rPr>
          <w:noProof/>
          <w:sz w:val="16"/>
          <w:szCs w:val="24"/>
        </w:rPr>
        <w:lastRenderedPageBreak/>
        <w:t>. [Accessed: 27-Sep-2018].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[16]</w:t>
      </w:r>
      <w:r w:rsidRPr="0000768D">
        <w:rPr>
          <w:noProof/>
          <w:sz w:val="16"/>
          <w:szCs w:val="24"/>
        </w:rPr>
        <w:tab/>
        <w:t xml:space="preserve">F. J. Pineda, “Generalization of back-propagation to recurrent neural networks,” </w:t>
      </w:r>
      <w:r w:rsidRPr="0000768D">
        <w:rPr>
          <w:i/>
          <w:iCs/>
          <w:noProof/>
          <w:sz w:val="16"/>
          <w:szCs w:val="24"/>
        </w:rPr>
        <w:t>Phys. Rev. Lett.</w:t>
      </w:r>
      <w:r w:rsidRPr="0000768D">
        <w:rPr>
          <w:noProof/>
          <w:sz w:val="16"/>
          <w:szCs w:val="24"/>
        </w:rPr>
        <w:t>, vol. 59, no. 19, pp. 2229–2232, Nov. 1987.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[17]</w:t>
      </w:r>
      <w:r w:rsidRPr="0000768D">
        <w:rPr>
          <w:noProof/>
          <w:sz w:val="16"/>
          <w:szCs w:val="24"/>
        </w:rPr>
        <w:tab/>
        <w:t xml:space="preserve">J. J. Hopfield, “Neural networks and physical systems with emergent collective computational abilities.,” </w:t>
      </w:r>
      <w:r w:rsidRPr="0000768D">
        <w:rPr>
          <w:i/>
          <w:iCs/>
          <w:noProof/>
          <w:sz w:val="16"/>
          <w:szCs w:val="24"/>
        </w:rPr>
        <w:t>Proc. Natl. Acad. Sci. U. S. A.</w:t>
      </w:r>
      <w:r w:rsidRPr="0000768D">
        <w:rPr>
          <w:noProof/>
          <w:sz w:val="16"/>
          <w:szCs w:val="24"/>
        </w:rPr>
        <w:t>, vol. 79, no. 8, pp. 2554–8, Apr. 1982.</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[18]</w:t>
      </w:r>
      <w:r w:rsidRPr="0000768D">
        <w:rPr>
          <w:noProof/>
          <w:sz w:val="16"/>
          <w:szCs w:val="24"/>
        </w:rPr>
        <w:tab/>
        <w:t>Z. C. Lipton, J. Berkowitz, and C. Elkan, “A Critical Review of Recurrent Neural Networks for Sequence Learning,” 2015.</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[19]</w:t>
      </w:r>
      <w:r w:rsidRPr="0000768D">
        <w:rPr>
          <w:noProof/>
          <w:sz w:val="16"/>
          <w:szCs w:val="24"/>
        </w:rPr>
        <w:tab/>
        <w:t xml:space="preserve">Y. Bengio, P. Simard, P. F. on neural networks, and  undefined 1994, “Learning long-term dependencies with gradient descent is difficult,” </w:t>
      </w:r>
      <w:r w:rsidRPr="0000768D">
        <w:rPr>
          <w:i/>
          <w:iCs/>
          <w:noProof/>
          <w:sz w:val="16"/>
          <w:szCs w:val="24"/>
        </w:rPr>
        <w:t>comp.hkbu.edu.hk</w:t>
      </w:r>
      <w:r w:rsidRPr="0000768D">
        <w:rPr>
          <w:noProof/>
          <w:sz w:val="16"/>
          <w:szCs w:val="24"/>
        </w:rPr>
        <w:t>.</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[20]</w:t>
      </w:r>
      <w:r w:rsidRPr="0000768D">
        <w:rPr>
          <w:noProof/>
          <w:sz w:val="16"/>
          <w:szCs w:val="24"/>
        </w:rPr>
        <w:tab/>
        <w:t xml:space="preserve">F. A. Gers, J. Schmidhuber, and F. Cummins, “Learning to forget: continual prediction with LSTM.,” </w:t>
      </w:r>
      <w:r w:rsidRPr="0000768D">
        <w:rPr>
          <w:i/>
          <w:iCs/>
          <w:noProof/>
          <w:sz w:val="16"/>
          <w:szCs w:val="24"/>
        </w:rPr>
        <w:t>Neural Comput.</w:t>
      </w:r>
      <w:r w:rsidRPr="0000768D">
        <w:rPr>
          <w:noProof/>
          <w:sz w:val="16"/>
          <w:szCs w:val="24"/>
        </w:rPr>
        <w:t>, vol. 12, no. 10, pp. 2451–71, Oct. 2000.</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[21]</w:t>
      </w:r>
      <w:r w:rsidRPr="0000768D">
        <w:rPr>
          <w:noProof/>
          <w:sz w:val="16"/>
          <w:szCs w:val="24"/>
        </w:rPr>
        <w:tab/>
        <w:t>J. Chung, C. Gulcehre, K. Cho, and Y. Bengio, “Empirical Evaluation of Gated Recurrent Neural Networks on Sequence Modeling,” Dec. 2014.</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[22]</w:t>
      </w:r>
      <w:r w:rsidRPr="0000768D">
        <w:rPr>
          <w:noProof/>
          <w:sz w:val="16"/>
          <w:szCs w:val="24"/>
        </w:rPr>
        <w:tab/>
        <w:t>“PyTorch documentation — PyTorch master documentation.” [Online]. Available: https://pytorch.org/docs/stable/index.html. [Accessed: 28-Sep-2018].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[23]</w:t>
      </w:r>
      <w:r w:rsidRPr="0000768D">
        <w:rPr>
          <w:noProof/>
          <w:sz w:val="16"/>
          <w:szCs w:val="24"/>
        </w:rPr>
        <w:tab/>
        <w:t xml:space="preserve">M. Schuster and K. K. Paliwal, “Bidirectional Recurrent Neural Networks,” </w:t>
      </w:r>
      <w:r w:rsidRPr="0000768D">
        <w:rPr>
          <w:i/>
          <w:iCs/>
          <w:noProof/>
          <w:sz w:val="16"/>
          <w:szCs w:val="24"/>
        </w:rPr>
        <w:t>IEEE Trans. SIGNAL Process.</w:t>
      </w:r>
      <w:r w:rsidRPr="0000768D">
        <w:rPr>
          <w:noProof/>
          <w:sz w:val="16"/>
          <w:szCs w:val="24"/>
        </w:rPr>
        <w:t>, vol. 45, no. 11, 1997.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[24]</w:t>
      </w:r>
      <w:r w:rsidRPr="0000768D">
        <w:rPr>
          <w:noProof/>
          <w:sz w:val="16"/>
          <w:szCs w:val="24"/>
        </w:rPr>
        <w:tab/>
        <w:t xml:space="preserve">T. Thireou and M. Reczko, “Bidirectional Long Short-Term Memory Networks for Predicting the Subcellular Localization of Eukaryotic Proteins,” </w:t>
      </w:r>
      <w:r w:rsidRPr="0000768D">
        <w:rPr>
          <w:i/>
          <w:iCs/>
          <w:noProof/>
          <w:sz w:val="16"/>
          <w:szCs w:val="24"/>
        </w:rPr>
        <w:t>IEEE/ACM Trans. Comput. Biol. Bioinforma.</w:t>
      </w:r>
      <w:r w:rsidRPr="0000768D">
        <w:rPr>
          <w:noProof/>
          <w:sz w:val="16"/>
          <w:szCs w:val="24"/>
        </w:rPr>
        <w:t>, vol. 4, no. 3, pp. 441–446, Jul. 2007.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[25]</w:t>
      </w:r>
      <w:r w:rsidRPr="0000768D">
        <w:rPr>
          <w:noProof/>
          <w:sz w:val="16"/>
          <w:szCs w:val="24"/>
        </w:rPr>
        <w:tab/>
        <w:t xml:space="preserve">A. Graves and J. Schmidhuber, “Framewise phoneme classification with bidirectional LSTM networks,” in </w:t>
      </w:r>
      <w:r w:rsidRPr="0000768D">
        <w:rPr>
          <w:i/>
          <w:iCs/>
          <w:noProof/>
          <w:sz w:val="16"/>
          <w:szCs w:val="24"/>
        </w:rPr>
        <w:t>Proceedings. 2005 IEEE International Joint Conference on Neural Networks, 2005.</w:t>
      </w:r>
      <w:r w:rsidRPr="0000768D">
        <w:rPr>
          <w:noProof/>
          <w:sz w:val="16"/>
          <w:szCs w:val="24"/>
        </w:rPr>
        <w:t>, vol. 4, pp. 2047–2052.</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[26]</w:t>
      </w:r>
      <w:r w:rsidRPr="0000768D">
        <w:rPr>
          <w:noProof/>
          <w:sz w:val="16"/>
          <w:szCs w:val="24"/>
        </w:rPr>
        <w:tab/>
        <w:t xml:space="preserve">S. Chang </w:t>
      </w:r>
      <w:r w:rsidRPr="0000768D">
        <w:rPr>
          <w:i/>
          <w:iCs/>
          <w:noProof/>
          <w:sz w:val="16"/>
          <w:szCs w:val="24"/>
        </w:rPr>
        <w:t>et al.</w:t>
      </w:r>
      <w:r w:rsidRPr="0000768D">
        <w:rPr>
          <w:noProof/>
          <w:sz w:val="16"/>
          <w:szCs w:val="24"/>
        </w:rPr>
        <w:t>, “Dilated Recurrent Neural Networks,” Oct.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[27]</w:t>
      </w:r>
      <w:r w:rsidRPr="0000768D">
        <w:rPr>
          <w:noProof/>
          <w:sz w:val="16"/>
          <w:szCs w:val="24"/>
        </w:rPr>
        <w:tab/>
        <w:t>I. M. Baytas, C. Xiao, X. Zhang, F. Wang, A. K. Jain, and J. Zhou, “Patient Subtyping via Time-Aware LSTM Networks,” vol. 10,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[28]</w:t>
      </w:r>
      <w:r w:rsidRPr="0000768D">
        <w:rPr>
          <w:noProof/>
          <w:sz w:val="16"/>
          <w:szCs w:val="24"/>
        </w:rPr>
        <w:tab/>
        <w:t>J. Bradbury, S. Merity, C. Xiong, and R. Socher, “Quasi-Recurrent Neural Networks,” Nov. 2016.</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[29]</w:t>
      </w:r>
      <w:r w:rsidRPr="0000768D">
        <w:rPr>
          <w:noProof/>
          <w:sz w:val="16"/>
          <w:szCs w:val="24"/>
        </w:rPr>
        <w:tab/>
        <w:t xml:space="preserve">R. P. Adams and O. Stegle, “Gaussian process product models for nonparametric nonstationarity,” in </w:t>
      </w:r>
      <w:r w:rsidRPr="0000768D">
        <w:rPr>
          <w:i/>
          <w:iCs/>
          <w:noProof/>
          <w:sz w:val="16"/>
          <w:szCs w:val="24"/>
        </w:rPr>
        <w:t>Proceedings of the 25th international conference on Machine learning - ICML ’08</w:t>
      </w:r>
      <w:r w:rsidRPr="0000768D">
        <w:rPr>
          <w:noProof/>
          <w:sz w:val="16"/>
          <w:szCs w:val="24"/>
        </w:rPr>
        <w:t>, 2008, pp. 1–8.</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[30]</w:t>
      </w:r>
      <w:r w:rsidRPr="0000768D">
        <w:rPr>
          <w:noProof/>
          <w:sz w:val="16"/>
          <w:szCs w:val="24"/>
        </w:rPr>
        <w:tab/>
        <w:t xml:space="preserve">B. Shahriari, K. Swersky, Z. Wang, R. P. Adams, and N. de Freitas, “Taking the Human Out of the Loop: A Review of Bayesian Optimization,” </w:t>
      </w:r>
      <w:r w:rsidRPr="0000768D">
        <w:rPr>
          <w:i/>
          <w:iCs/>
          <w:noProof/>
          <w:sz w:val="16"/>
          <w:szCs w:val="24"/>
        </w:rPr>
        <w:t>Proc. IEEE</w:t>
      </w:r>
      <w:r w:rsidRPr="0000768D">
        <w:rPr>
          <w:noProof/>
          <w:sz w:val="16"/>
          <w:szCs w:val="24"/>
        </w:rPr>
        <w:t>, vol. 104, no. 1, pp. 148–175, Jan. 2016.</w:t>
      </w:r>
    </w:p>
    <w:p w:rsidR="0000768D" w:rsidRPr="0000768D" w:rsidRDefault="0000768D" w:rsidP="006B2C80">
      <w:pPr>
        <w:widowControl w:val="0"/>
        <w:autoSpaceDE w:val="0"/>
        <w:autoSpaceDN w:val="0"/>
        <w:adjustRightInd w:val="0"/>
        <w:spacing w:after="2pt" w:line="12pt" w:lineRule="exact"/>
        <w:ind w:start="32pt" w:hanging="32pt"/>
        <w:jc w:val="both"/>
        <w:rPr>
          <w:noProof/>
          <w:sz w:val="16"/>
          <w:szCs w:val="24"/>
        </w:rPr>
      </w:pPr>
      <w:r w:rsidRPr="0000768D">
        <w:rPr>
          <w:noProof/>
          <w:sz w:val="16"/>
          <w:szCs w:val="24"/>
        </w:rPr>
        <w:t>[31]</w:t>
      </w:r>
      <w:r w:rsidRPr="0000768D">
        <w:rPr>
          <w:noProof/>
          <w:sz w:val="16"/>
          <w:szCs w:val="24"/>
        </w:rPr>
        <w:tab/>
        <w:t>G. Melis, C. Dyer, and P. Blunsom, “On the State of the Art of Evaluation in Neural Language Models,” Jul. 2017.</w:t>
      </w:r>
    </w:p>
    <w:p w:rsidR="0000768D" w:rsidRPr="0000768D" w:rsidRDefault="0000768D" w:rsidP="006B2C80">
      <w:pPr>
        <w:widowControl w:val="0"/>
        <w:autoSpaceDE w:val="0"/>
        <w:autoSpaceDN w:val="0"/>
        <w:adjustRightInd w:val="0"/>
        <w:spacing w:after="2pt" w:line="12pt" w:lineRule="exact"/>
        <w:ind w:start="32pt" w:hanging="32pt"/>
        <w:jc w:val="both"/>
        <w:rPr>
          <w:noProof/>
          <w:sz w:val="16"/>
        </w:rPr>
      </w:pPr>
      <w:r w:rsidRPr="0000768D">
        <w:rPr>
          <w:noProof/>
          <w:sz w:val="16"/>
          <w:szCs w:val="24"/>
        </w:rPr>
        <w:t>[32]</w:t>
      </w:r>
      <w:r w:rsidRPr="0000768D">
        <w:rPr>
          <w:noProof/>
          <w:sz w:val="16"/>
          <w:szCs w:val="24"/>
        </w:rPr>
        <w:tab/>
        <w:t>R. Jozefowicz, W. Zaremba, and I. Sutskever, “An Empirical Exploration of Recurrent Network Architectures.”</w:t>
      </w:r>
    </w:p>
    <w:p w:rsidR="00CC0498" w:rsidRDefault="007B320C" w:rsidP="006B2C80">
      <w:pPr>
        <w:pStyle w:val="references"/>
        <w:numPr>
          <w:ilvl w:val="0"/>
          <w:numId w:val="0"/>
        </w:numPr>
        <w:ind w:start="17.70pt"/>
        <w:sectPr w:rsidR="00CC0498" w:rsidSect="00CC0498">
          <w:type w:val="continuous"/>
          <w:pgSz w:w="595.30pt" w:h="841.90pt" w:code="9"/>
          <w:pgMar w:top="54pt" w:right="44.65pt" w:bottom="72pt" w:left="44.65pt" w:header="36pt" w:footer="36pt" w:gutter="0pt"/>
          <w:cols w:num="2" w:space="36pt"/>
          <w:docGrid w:linePitch="360"/>
        </w:sectPr>
      </w:pPr>
      <w:r>
        <w:fldChar w:fldCharType="end"/>
      </w:r>
    </w:p>
    <w:p w:rsidR="007B320C" w:rsidRDefault="007B320C" w:rsidP="007B320C">
      <w:pPr>
        <w:pStyle w:val="references"/>
        <w:numPr>
          <w:ilvl w:val="0"/>
          <w:numId w:val="0"/>
        </w:numPr>
        <w:ind w:start="17.70pt"/>
      </w:pPr>
    </w:p>
    <w:p w:rsidR="009303D9" w:rsidRDefault="009303D9" w:rsidP="00836367">
      <w:pPr>
        <w:pStyle w:val="references"/>
        <w:numPr>
          <w:ilvl w:val="0"/>
          <w:numId w:val="0"/>
        </w:numPr>
        <w:ind w:start="18pt" w:hanging="18pt"/>
      </w:pPr>
    </w:p>
    <w:p w:rsidR="001807B4" w:rsidRDefault="001807B4" w:rsidP="00AC0EBA">
      <w:pPr>
        <w:jc w:val="both"/>
      </w:pPr>
    </w:p>
    <w:p w:rsidR="001807B4" w:rsidRDefault="001807B4">
      <w:pPr>
        <w:jc w:val="start"/>
      </w:pPr>
      <w:r>
        <w:br w:type="page"/>
      </w:r>
    </w:p>
    <w:p w:rsidR="001807B4" w:rsidRPr="001807B4" w:rsidRDefault="001807B4" w:rsidP="001807B4">
      <w:pPr>
        <w:pStyle w:val="Caption"/>
        <w:keepNext/>
        <w:rPr>
          <w:i w:val="0"/>
          <w:iCs w:val="0"/>
          <w:smallCaps/>
          <w:noProof/>
          <w:color w:val="auto"/>
          <w:sz w:val="16"/>
          <w:szCs w:val="16"/>
        </w:rPr>
      </w:pPr>
      <w:r w:rsidRPr="001807B4">
        <w:rPr>
          <w:i w:val="0"/>
          <w:iCs w:val="0"/>
          <w:smallCaps/>
          <w:noProof/>
          <w:color w:val="auto"/>
          <w:sz w:val="16"/>
          <w:szCs w:val="16"/>
        </w:rPr>
        <w:lastRenderedPageBreak/>
        <w:t>Supplemental Table</w:t>
      </w:r>
      <w:r>
        <w:rPr>
          <w:i w:val="0"/>
          <w:iCs w:val="0"/>
          <w:smallCaps/>
          <w:noProof/>
          <w:color w:val="auto"/>
          <w:sz w:val="16"/>
          <w:szCs w:val="16"/>
        </w:rPr>
        <w:t xml:space="preserve"> I.</w:t>
      </w:r>
      <w:r>
        <w:rPr>
          <w:i w:val="0"/>
          <w:iCs w:val="0"/>
          <w:smallCaps/>
          <w:noProof/>
          <w:color w:val="auto"/>
          <w:sz w:val="16"/>
          <w:szCs w:val="16"/>
        </w:rPr>
        <w:tab/>
      </w:r>
      <w:r w:rsidRPr="001807B4">
        <w:t xml:space="preserve"> </w:t>
      </w:r>
      <w:r w:rsidRPr="001807B4">
        <w:rPr>
          <w:i w:val="0"/>
          <w:iCs w:val="0"/>
          <w:smallCaps/>
          <w:noProof/>
          <w:color w:val="auto"/>
          <w:sz w:val="16"/>
          <w:szCs w:val="16"/>
        </w:rPr>
        <w:t>List of Covariates used to train the models</w:t>
      </w:r>
    </w:p>
    <w:tbl>
      <w:tblPr>
        <w:tblpPr w:leftFromText="180" w:rightFromText="180" w:vertAnchor="text" w:tblpXSpec="center" w:tblpY="1"/>
        <w:tblOverlap w:val="never"/>
        <w:tblW w:w="332.75pt" w:type="dxa"/>
        <w:tblLook w:firstRow="1" w:lastRow="0" w:firstColumn="1" w:lastColumn="0" w:noHBand="0" w:noVBand="1"/>
      </w:tblPr>
      <w:tblGrid>
        <w:gridCol w:w="960"/>
        <w:gridCol w:w="3140"/>
        <w:gridCol w:w="1203"/>
        <w:gridCol w:w="1352"/>
      </w:tblGrid>
      <w:tr w:rsidR="001807B4" w:rsidRPr="00BC4151" w:rsidTr="00CC0498">
        <w:trPr>
          <w:trHeight w:val="288"/>
        </w:trPr>
        <w:tc>
          <w:tcPr>
            <w:tcW w:w="48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rsidR="001807B4" w:rsidRPr="001807B4" w:rsidRDefault="001807B4" w:rsidP="001807B4">
            <w:pPr>
              <w:pStyle w:val="tablecolhead"/>
            </w:pPr>
            <w:r w:rsidRPr="001807B4">
              <w:t>Category</w:t>
            </w:r>
          </w:p>
        </w:tc>
        <w:tc>
          <w:tcPr>
            <w:tcW w:w="157pt" w:type="dxa"/>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lhead"/>
            </w:pPr>
            <w:r w:rsidRPr="001807B4">
              <w:t>Covariate</w:t>
            </w:r>
          </w:p>
        </w:tc>
        <w:tc>
          <w:tcPr>
            <w:tcW w:w="60.15pt" w:type="dxa"/>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lhead"/>
            </w:pPr>
            <w:r w:rsidRPr="001807B4">
              <w:t>Abbreviation</w:t>
            </w:r>
          </w:p>
        </w:tc>
        <w:tc>
          <w:tcPr>
            <w:tcW w:w="67.60pt" w:type="dxa"/>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lhead"/>
            </w:pPr>
            <w:r w:rsidRPr="001807B4">
              <w:t>categories count</w:t>
            </w:r>
          </w:p>
        </w:tc>
      </w:tr>
      <w:tr w:rsidR="001807B4" w:rsidRPr="00BC4151" w:rsidTr="00CC0498">
        <w:trPr>
          <w:trHeight w:val="288"/>
        </w:trPr>
        <w:tc>
          <w:tcPr>
            <w:tcW w:w="48pt" w:type="dxa"/>
            <w:vMerge w:val="restart"/>
            <w:tcBorders>
              <w:top w:val="nil"/>
              <w:start w:val="single" w:sz="4" w:space="0" w:color="auto"/>
              <w:bottom w:val="single" w:sz="4" w:space="0" w:color="auto"/>
              <w:end w:val="single" w:sz="4" w:space="0" w:color="auto"/>
            </w:tcBorders>
            <w:shd w:val="clear" w:color="auto" w:fill="auto"/>
            <w:noWrap/>
            <w:textDirection w:val="lr"/>
            <w:vAlign w:val="center"/>
            <w:hideMark/>
          </w:tcPr>
          <w:p w:rsidR="001807B4" w:rsidRPr="001807B4" w:rsidRDefault="001807B4" w:rsidP="001807B4">
            <w:pPr>
              <w:pStyle w:val="tablecolhead"/>
            </w:pPr>
            <w:r w:rsidRPr="001807B4">
              <w:t>Clinical</w:t>
            </w: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Diagnoses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D</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44086</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Laboratory results (in Cerner codes)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Lc</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356</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Laboratory results (in Loinic codes)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L</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10014</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Medication (generic names)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M</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2032</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Procedures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P</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26335</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217.15pt" w:type="dxa"/>
            <w:gridSpan w:val="2"/>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 </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rPr>
                <w:b/>
              </w:rPr>
            </w:pPr>
            <w:r w:rsidRPr="001807B4">
              <w:rPr>
                <w:b/>
              </w:rPr>
              <w:t>82</w:t>
            </w:r>
            <w:r>
              <w:rPr>
                <w:b/>
              </w:rPr>
              <w:t>,</w:t>
            </w:r>
            <w:r w:rsidRPr="001807B4">
              <w:rPr>
                <w:b/>
              </w:rPr>
              <w:t>823</w:t>
            </w:r>
          </w:p>
        </w:tc>
      </w:tr>
      <w:tr w:rsidR="001807B4" w:rsidRPr="00BC4151" w:rsidTr="00CC0498">
        <w:trPr>
          <w:trHeight w:val="288"/>
        </w:trPr>
        <w:tc>
          <w:tcPr>
            <w:tcW w:w="48pt" w:type="dxa"/>
            <w:vMerge w:val="restart"/>
            <w:tcBorders>
              <w:top w:val="nil"/>
              <w:start w:val="single" w:sz="4" w:space="0" w:color="auto"/>
              <w:bottom w:val="single" w:sz="4" w:space="0" w:color="auto"/>
              <w:end w:val="single" w:sz="4" w:space="0" w:color="auto"/>
            </w:tcBorders>
            <w:shd w:val="clear" w:color="auto" w:fill="auto"/>
            <w:noWrap/>
            <w:textDirection w:val="lr"/>
            <w:vAlign w:val="center"/>
            <w:hideMark/>
          </w:tcPr>
          <w:p w:rsidR="001807B4" w:rsidRPr="001807B4" w:rsidRDefault="001807B4" w:rsidP="001807B4">
            <w:pPr>
              <w:pStyle w:val="tablecolhead"/>
            </w:pPr>
            <w:r w:rsidRPr="001807B4">
              <w:t>Demographic</w:t>
            </w: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Age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a</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89</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Gender</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g</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3</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Marital Status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m</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7</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Race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r</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10</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217.15pt" w:type="dxa"/>
            <w:gridSpan w:val="2"/>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 </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rPr>
                <w:b/>
              </w:rPr>
            </w:pPr>
            <w:r w:rsidRPr="001807B4">
              <w:rPr>
                <w:b/>
              </w:rPr>
              <w:t>109</w:t>
            </w:r>
          </w:p>
        </w:tc>
      </w:tr>
      <w:tr w:rsidR="001807B4" w:rsidRPr="00BC4151" w:rsidTr="00CC0498">
        <w:trPr>
          <w:trHeight w:val="288"/>
        </w:trPr>
        <w:tc>
          <w:tcPr>
            <w:tcW w:w="48pt" w:type="dxa"/>
            <w:vMerge w:val="restart"/>
            <w:tcBorders>
              <w:top w:val="nil"/>
              <w:start w:val="single" w:sz="4" w:space="0" w:color="auto"/>
              <w:bottom w:val="single" w:sz="4" w:space="0" w:color="auto"/>
              <w:end w:val="single" w:sz="4" w:space="0" w:color="auto"/>
            </w:tcBorders>
            <w:shd w:val="clear" w:color="auto" w:fill="auto"/>
            <w:noWrap/>
            <w:textDirection w:val="lr"/>
            <w:vAlign w:val="center"/>
            <w:hideMark/>
          </w:tcPr>
          <w:p w:rsidR="001807B4" w:rsidRPr="001807B4" w:rsidRDefault="001807B4" w:rsidP="001807B4">
            <w:pPr>
              <w:pStyle w:val="tablecolhead"/>
            </w:pPr>
            <w:r w:rsidRPr="001807B4">
              <w:t>Hospital</w:t>
            </w: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Acute Status</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HAS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Bed size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HBS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7</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Census Division</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CDv</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9</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Census Region</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CRg</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4</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Health System id</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HSi</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89</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 xml:space="preserve">Hospital id </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Hid</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514</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Urban / Rural</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HUR</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1807B4" w:rsidRDefault="001807B4" w:rsidP="001807B4">
            <w:pPr>
              <w:pStyle w:val="tablecolhead"/>
            </w:pPr>
          </w:p>
        </w:tc>
        <w:tc>
          <w:tcPr>
            <w:tcW w:w="217.15pt" w:type="dxa"/>
            <w:gridSpan w:val="2"/>
            <w:tcBorders>
              <w:top w:val="single" w:sz="4" w:space="0" w:color="auto"/>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 </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rPr>
                <w:b/>
              </w:rPr>
            </w:pPr>
            <w:r w:rsidRPr="001807B4">
              <w:rPr>
                <w:b/>
              </w:rPr>
              <w:t>627</w:t>
            </w:r>
          </w:p>
        </w:tc>
      </w:tr>
      <w:tr w:rsidR="001807B4" w:rsidRPr="00BC4151" w:rsidTr="00CC0498">
        <w:trPr>
          <w:trHeight w:val="288"/>
        </w:trPr>
        <w:tc>
          <w:tcPr>
            <w:tcW w:w="48pt" w:type="dxa"/>
            <w:vMerge w:val="restart"/>
            <w:tcBorders>
              <w:top w:val="nil"/>
              <w:start w:val="single" w:sz="4" w:space="0" w:color="auto"/>
              <w:bottom w:val="single" w:sz="4" w:space="0" w:color="auto"/>
              <w:end w:val="single" w:sz="4" w:space="0" w:color="auto"/>
            </w:tcBorders>
            <w:shd w:val="clear" w:color="auto" w:fill="auto"/>
            <w:noWrap/>
            <w:textDirection w:val="lr"/>
            <w:vAlign w:val="center"/>
            <w:hideMark/>
          </w:tcPr>
          <w:p w:rsidR="001807B4" w:rsidRPr="001807B4" w:rsidRDefault="001807B4" w:rsidP="001807B4">
            <w:pPr>
              <w:pStyle w:val="tablecolhead"/>
            </w:pPr>
            <w:r w:rsidRPr="001807B4">
              <w:t>Administrative</w:t>
            </w: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Admission Source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Ads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21</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Admission Type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Adt</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9</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Billing Indicator</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Bil</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3</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Caresetting</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Cst</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170</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Diagnoses related group (DRG) description</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DRG</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1265</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Discharge Disposition</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dsd</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35</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Encounter Type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Ptp</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40</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Insurance</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Ins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23</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 xml:space="preserve">Length of Stay </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LOS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7</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Medical Diagnosis Code (MDC) description</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MDC</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26</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157pt" w:type="dxa"/>
            <w:tcBorders>
              <w:top w:val="nil"/>
              <w:start w:val="nil"/>
              <w:bottom w:val="single" w:sz="4" w:space="0" w:color="auto"/>
              <w:end w:val="single" w:sz="4" w:space="0" w:color="auto"/>
            </w:tcBorders>
            <w:shd w:val="clear" w:color="auto" w:fill="auto"/>
            <w:noWrap/>
            <w:vAlign w:val="bottom"/>
            <w:hideMark/>
          </w:tcPr>
          <w:p w:rsidR="001807B4" w:rsidRPr="001807B4" w:rsidRDefault="001807B4" w:rsidP="001807B4">
            <w:pPr>
              <w:pStyle w:val="tablecopy"/>
            </w:pPr>
            <w:r w:rsidRPr="001807B4">
              <w:t>Physician Medical Speciality</w:t>
            </w:r>
          </w:p>
        </w:tc>
        <w:tc>
          <w:tcPr>
            <w:tcW w:w="60.15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pPr>
            <w:r w:rsidRPr="001807B4">
              <w:t>PMs</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pPr>
            <w:r w:rsidRPr="001807B4">
              <w:t>136</w:t>
            </w:r>
          </w:p>
        </w:tc>
      </w:tr>
      <w:tr w:rsidR="001807B4" w:rsidRPr="00BC4151" w:rsidTr="00CC0498">
        <w:trPr>
          <w:trHeight w:val="288"/>
        </w:trPr>
        <w:tc>
          <w:tcPr>
            <w:tcW w:w="48pt" w:type="dxa"/>
            <w:vMerge/>
            <w:tcBorders>
              <w:top w:val="nil"/>
              <w:start w:val="single" w:sz="4" w:space="0" w:color="auto"/>
              <w:bottom w:val="single" w:sz="4" w:space="0" w:color="auto"/>
              <w:end w:val="single" w:sz="4" w:space="0" w:color="auto"/>
            </w:tcBorders>
            <w:vAlign w:val="center"/>
            <w:hideMark/>
          </w:tcPr>
          <w:p w:rsidR="001807B4" w:rsidRPr="00BC4151" w:rsidRDefault="001807B4" w:rsidP="001807B4">
            <w:pPr>
              <w:rPr>
                <w:rFonts w:ascii="Calibri" w:eastAsia="Times New Roman" w:hAnsi="Calibri" w:cs="Calibri"/>
                <w:b/>
                <w:bCs/>
                <w:color w:val="000000"/>
              </w:rPr>
            </w:pPr>
          </w:p>
        </w:tc>
        <w:tc>
          <w:tcPr>
            <w:tcW w:w="217.15pt" w:type="dxa"/>
            <w:gridSpan w:val="2"/>
            <w:tcBorders>
              <w:top w:val="single" w:sz="4" w:space="0" w:color="auto"/>
              <w:start w:val="nil"/>
              <w:bottom w:val="single" w:sz="4" w:space="0" w:color="auto"/>
              <w:end w:val="single" w:sz="4" w:space="0" w:color="auto"/>
            </w:tcBorders>
            <w:shd w:val="clear" w:color="auto" w:fill="auto"/>
            <w:noWrap/>
            <w:vAlign w:val="bottom"/>
            <w:hideMark/>
          </w:tcPr>
          <w:p w:rsidR="001807B4" w:rsidRPr="00BC4151" w:rsidRDefault="001807B4" w:rsidP="001807B4">
            <w:pPr>
              <w:rPr>
                <w:rFonts w:ascii="Calibri" w:eastAsia="Times New Roman" w:hAnsi="Calibri" w:cs="Calibri"/>
                <w:color w:val="000000"/>
              </w:rPr>
            </w:pPr>
            <w:r w:rsidRPr="00BC4151">
              <w:rPr>
                <w:rFonts w:ascii="Calibri" w:eastAsia="Times New Roman" w:hAnsi="Calibri" w:cs="Calibri"/>
                <w:color w:val="000000"/>
              </w:rPr>
              <w:t> </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py"/>
              <w:jc w:val="end"/>
              <w:rPr>
                <w:b/>
              </w:rPr>
            </w:pPr>
            <w:r w:rsidRPr="001807B4">
              <w:rPr>
                <w:b/>
              </w:rPr>
              <w:t>1</w:t>
            </w:r>
            <w:r>
              <w:rPr>
                <w:b/>
              </w:rPr>
              <w:t>,</w:t>
            </w:r>
            <w:r w:rsidRPr="001807B4">
              <w:rPr>
                <w:b/>
              </w:rPr>
              <w:t>735</w:t>
            </w:r>
          </w:p>
        </w:tc>
      </w:tr>
      <w:tr w:rsidR="001807B4" w:rsidRPr="00BC4151" w:rsidTr="00CC0498">
        <w:trPr>
          <w:trHeight w:val="288"/>
        </w:trPr>
        <w:tc>
          <w:tcPr>
            <w:tcW w:w="265.15pt" w:type="dxa"/>
            <w:gridSpan w:val="3"/>
            <w:tcBorders>
              <w:top w:val="single" w:sz="4" w:space="0" w:color="auto"/>
              <w:start w:val="single" w:sz="4" w:space="0" w:color="auto"/>
              <w:bottom w:val="single" w:sz="4" w:space="0" w:color="auto"/>
              <w:end w:val="single" w:sz="4" w:space="0" w:color="auto"/>
            </w:tcBorders>
            <w:shd w:val="clear" w:color="auto" w:fill="auto"/>
            <w:noWrap/>
            <w:vAlign w:val="bottom"/>
            <w:hideMark/>
          </w:tcPr>
          <w:p w:rsidR="001807B4" w:rsidRPr="001807B4" w:rsidRDefault="001807B4" w:rsidP="001807B4">
            <w:pPr>
              <w:pStyle w:val="tablecolhead"/>
            </w:pPr>
            <w:r w:rsidRPr="001807B4">
              <w:t xml:space="preserve">Total count of Covariates </w:t>
            </w:r>
          </w:p>
        </w:tc>
        <w:tc>
          <w:tcPr>
            <w:tcW w:w="67.60pt" w:type="dxa"/>
            <w:tcBorders>
              <w:top w:val="nil"/>
              <w:start w:val="nil"/>
              <w:bottom w:val="single" w:sz="4" w:space="0" w:color="auto"/>
              <w:end w:val="single" w:sz="4" w:space="0" w:color="auto"/>
            </w:tcBorders>
            <w:shd w:val="clear" w:color="auto" w:fill="auto"/>
            <w:vAlign w:val="center"/>
            <w:hideMark/>
          </w:tcPr>
          <w:p w:rsidR="001807B4" w:rsidRPr="001807B4" w:rsidRDefault="001807B4" w:rsidP="001807B4">
            <w:pPr>
              <w:pStyle w:val="tablecolhead"/>
            </w:pPr>
            <w:r w:rsidRPr="001807B4">
              <w:t>85</w:t>
            </w:r>
            <w:r>
              <w:t>,</w:t>
            </w:r>
            <w:r w:rsidRPr="001807B4">
              <w:t>294</w:t>
            </w:r>
          </w:p>
        </w:tc>
      </w:tr>
    </w:tbl>
    <w:p w:rsidR="001807B4" w:rsidRDefault="001807B4" w:rsidP="005B520E">
      <w:r>
        <w:br w:type="textWrapping" w:clear="all"/>
      </w:r>
    </w:p>
    <w:p w:rsidR="00CC0498" w:rsidRDefault="00CC0498" w:rsidP="001807B4">
      <w:pPr>
        <w:jc w:val="both"/>
      </w:pPr>
    </w:p>
    <w:p w:rsidR="00CC0498" w:rsidRPr="00CC0498" w:rsidRDefault="00CC0498" w:rsidP="00CC0498">
      <w:pPr>
        <w:pStyle w:val="Caption"/>
        <w:keepNext/>
      </w:pPr>
      <w:r w:rsidRPr="00CC0498">
        <w:rPr>
          <w:i w:val="0"/>
          <w:iCs w:val="0"/>
          <w:smallCaps/>
          <w:noProof/>
          <w:color w:val="auto"/>
          <w:sz w:val="16"/>
          <w:szCs w:val="16"/>
        </w:rPr>
        <w:t xml:space="preserve">Supplemental Table </w:t>
      </w:r>
      <w:r>
        <w:rPr>
          <w:i w:val="0"/>
          <w:iCs w:val="0"/>
          <w:smallCaps/>
          <w:noProof/>
          <w:color w:val="auto"/>
          <w:sz w:val="16"/>
          <w:szCs w:val="16"/>
        </w:rPr>
        <w:t xml:space="preserve"> II.</w:t>
      </w:r>
      <w:r>
        <w:rPr>
          <w:i w:val="0"/>
          <w:iCs w:val="0"/>
          <w:smallCaps/>
          <w:noProof/>
          <w:color w:val="auto"/>
          <w:sz w:val="16"/>
          <w:szCs w:val="16"/>
        </w:rPr>
        <w:tab/>
      </w:r>
      <w:r w:rsidRPr="001807B4">
        <w:t xml:space="preserve"> </w:t>
      </w:r>
      <w:r w:rsidRPr="001807B4">
        <w:rPr>
          <w:i w:val="0"/>
          <w:iCs w:val="0"/>
          <w:smallCaps/>
          <w:noProof/>
          <w:color w:val="auto"/>
          <w:sz w:val="16"/>
          <w:szCs w:val="16"/>
        </w:rPr>
        <w:t>List of Covariates used to train the models</w:t>
      </w:r>
      <w:r>
        <w:t xml:space="preserve">  </w:t>
      </w:r>
    </w:p>
    <w:tbl>
      <w:tblPr>
        <w:tblW w:w="431.85pt" w:type="dxa"/>
        <w:tblInd w:w="12.25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637"/>
      </w:tblGrid>
      <w:tr w:rsidR="00CC0498" w:rsidTr="00CC0498">
        <w:trPr>
          <w:cantSplit/>
          <w:trHeight w:val="240"/>
          <w:tblHeader/>
        </w:trPr>
        <w:tc>
          <w:tcPr>
            <w:tcW w:w="431.85pt" w:type="dxa"/>
            <w:vAlign w:val="center"/>
          </w:tcPr>
          <w:p w:rsidR="00CC0498" w:rsidRDefault="00CC0498" w:rsidP="004F5DED">
            <w:pPr>
              <w:pStyle w:val="tablecolsubhead"/>
            </w:pPr>
            <w:r>
              <w:t>Pseudo-code for Cohort definition</w:t>
            </w:r>
          </w:p>
        </w:tc>
      </w:tr>
      <w:tr w:rsidR="00CC0498" w:rsidTr="00CC0498">
        <w:trPr>
          <w:trHeight w:val="320"/>
        </w:trPr>
        <w:tc>
          <w:tcPr>
            <w:tcW w:w="431.85pt" w:type="dxa"/>
            <w:vAlign w:val="center"/>
          </w:tcPr>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Inpatient encounter at acute care hospital that last for at least 24 hours (i.e. discharged_dt_tm - admitted_dt_tm &gt; 24hrs)</w:t>
            </w:r>
          </w:p>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Age &gt;=18</w:t>
            </w:r>
          </w:p>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First inpatient encounter with any of the above diagnosis will be considered the index encounter</w:t>
            </w:r>
          </w:p>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The next inpatient encounter regardless the hospital or the diagnoses i.e. (any inpatient admission) will be considered the readmission encounter, need to be at least 1 day apart from the index encounter</w:t>
            </w:r>
          </w:p>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Cases are patients readmitted less than 30 days after the index encounter discharge date i.e. (readmission encounter admitted_dt_tm - index encounter discharged_dt_tm &lt; 30 days and &gt;= 1 day), and controls (readmission encounter admitted_dt_tm - index encounter discharged_dt_tm &lt; 30 days</w:t>
            </w:r>
          </w:p>
          <w:p w:rsidR="00CC0498" w:rsidRPr="00CC0498" w:rsidRDefault="00CC0498" w:rsidP="00CC0498">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For data quality issue you might face the case of</w:t>
            </w:r>
            <w:r w:rsidRPr="00CC0498">
              <w:rPr>
                <w:rStyle w:val="apple-converted-space"/>
                <w:color w:val="000000"/>
                <w:sz w:val="16"/>
                <w:szCs w:val="16"/>
              </w:rPr>
              <w:t> </w:t>
            </w:r>
          </w:p>
          <w:p w:rsidR="00CC0498" w:rsidRPr="00CC0498" w:rsidRDefault="00CC0498" w:rsidP="00CC0498">
            <w:pPr>
              <w:pStyle w:val="NormalWeb"/>
              <w:numPr>
                <w:ilvl w:val="0"/>
                <w:numId w:val="36"/>
              </w:numPr>
              <w:shd w:val="clear" w:color="auto" w:fill="FFFFFF"/>
              <w:spacing w:before="0pt" w:beforeAutospacing="0" w:after="0pt" w:afterAutospacing="0"/>
              <w:rPr>
                <w:color w:val="000000"/>
                <w:sz w:val="16"/>
                <w:szCs w:val="16"/>
              </w:rPr>
            </w:pPr>
            <w:r w:rsidRPr="00CC0498">
              <w:rPr>
                <w:color w:val="000000"/>
                <w:sz w:val="16"/>
                <w:szCs w:val="16"/>
              </w:rPr>
              <w:t>missing admission dates --- need to exclude those encounters from the case scenario identification as we normally nvl null admission with the discharged_dt_tm and hence the duration of the encounter become 0 (less than 1 day).</w:t>
            </w:r>
          </w:p>
          <w:p w:rsidR="00CC0498" w:rsidRPr="00CC0498" w:rsidRDefault="00CC0498" w:rsidP="00CC0498">
            <w:pPr>
              <w:pStyle w:val="NormalWeb"/>
              <w:numPr>
                <w:ilvl w:val="0"/>
                <w:numId w:val="36"/>
              </w:numPr>
              <w:shd w:val="clear" w:color="auto" w:fill="FFFFFF"/>
              <w:spacing w:before="0pt" w:beforeAutospacing="0" w:after="0pt" w:afterAutospacing="0"/>
              <w:rPr>
                <w:color w:val="000000"/>
                <w:sz w:val="16"/>
                <w:szCs w:val="16"/>
              </w:rPr>
            </w:pPr>
            <w:r w:rsidRPr="00CC0498">
              <w:rPr>
                <w:color w:val="000000"/>
                <w:sz w:val="16"/>
                <w:szCs w:val="16"/>
              </w:rPr>
              <w:t>encounters dates / duration overlapping ---- so you might find (readmission encounter admitted_dt_tm - index encounter discharged_dt_tm &lt; 1 or 0). So, we exclude those patients from the study for simplicity.</w:t>
            </w:r>
          </w:p>
          <w:p w:rsidR="00CC0498" w:rsidRPr="00CC0498" w:rsidRDefault="00CC0498" w:rsidP="004F5DED">
            <w:pPr>
              <w:pStyle w:val="NormalWeb"/>
              <w:numPr>
                <w:ilvl w:val="0"/>
                <w:numId w:val="35"/>
              </w:numPr>
              <w:shd w:val="clear" w:color="auto" w:fill="FFFFFF"/>
              <w:spacing w:before="0pt" w:beforeAutospacing="0" w:after="0pt" w:afterAutospacing="0"/>
              <w:rPr>
                <w:color w:val="000000"/>
                <w:sz w:val="16"/>
                <w:szCs w:val="16"/>
              </w:rPr>
            </w:pPr>
            <w:r w:rsidRPr="00CC0498">
              <w:rPr>
                <w:color w:val="000000"/>
                <w:sz w:val="16"/>
                <w:szCs w:val="16"/>
              </w:rPr>
              <w:t>Different encounters need to be at least 1 day apart.</w:t>
            </w:r>
          </w:p>
        </w:tc>
      </w:tr>
    </w:tbl>
    <w:p w:rsidR="009303D9" w:rsidRDefault="0062293B" w:rsidP="001807B4">
      <w:pPr>
        <w:jc w:val="both"/>
      </w:pPr>
      <w:r w:rsidRPr="0062293B">
        <w:rPr>
          <w:noProof/>
        </w:rPr>
        <w:lastRenderedPageBreak/>
        <w:drawing>
          <wp:anchor distT="0" distB="0" distL="114300" distR="114300" simplePos="0" relativeHeight="251659776" behindDoc="0" locked="0" layoutInCell="1" allowOverlap="1" wp14:anchorId="64750C8C" wp14:editId="796F4261">
            <wp:simplePos x="0" y="0"/>
            <wp:positionH relativeFrom="column">
              <wp:posOffset>11391900</wp:posOffset>
            </wp:positionH>
            <wp:positionV relativeFrom="paragraph">
              <wp:posOffset>14418310</wp:posOffset>
            </wp:positionV>
            <wp:extent cx="6426200" cy="3582670"/>
            <wp:effectExtent l="0" t="0" r="0" b="0"/>
            <wp:wrapNone/>
            <wp:docPr id="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pic:cNvPicPr>
                      <a:picLocks noChangeAspect="1"/>
                    </pic:cNvPicPr>
                  </pic:nvPicPr>
                  <pic:blipFill rotWithShape="1">
                    <a:blip r:embed="rId23" cstate="print">
                      <a:extLst>
                        <a:ext uri="{28A0092B-C50C-407E-A947-70E740481C1C}">
                          <a14:useLocalDpi xmlns:a14="http://schemas.microsoft.com/office/drawing/2010/main" val="0"/>
                        </a:ext>
                      </a:extLst>
                    </a:blip>
                    <a:srcRect t="1.761%" b="13.719%"/>
                    <a:stretch/>
                  </pic:blipFill>
                  <pic:spPr>
                    <a:xfrm>
                      <a:off x="0" y="0"/>
                      <a:ext cx="6426200" cy="3582670"/>
                    </a:xfrm>
                    <a:prstGeom prst="rect">
                      <a:avLst/>
                    </a:prstGeom>
                  </pic:spPr>
                </pic:pic>
              </a:graphicData>
            </a:graphic>
          </wp:anchor>
        </w:drawing>
      </w:r>
      <w:r w:rsidRPr="0062293B">
        <w:rPr>
          <w:noProof/>
        </w:rPr>
        <w:drawing>
          <wp:anchor distT="0" distB="0" distL="114300" distR="114300" simplePos="0" relativeHeight="251660800" behindDoc="0" locked="0" layoutInCell="1" allowOverlap="1" wp14:anchorId="3C52762E" wp14:editId="428C8EC3">
            <wp:simplePos x="0" y="0"/>
            <wp:positionH relativeFrom="column">
              <wp:posOffset>10924540</wp:posOffset>
            </wp:positionH>
            <wp:positionV relativeFrom="paragraph">
              <wp:posOffset>0</wp:posOffset>
            </wp:positionV>
            <wp:extent cx="6426200" cy="1831340"/>
            <wp:effectExtent l="0" t="0" r="0" b="0"/>
            <wp:wrapNone/>
            <wp:docPr id="7"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pic:cNvPicPr>
                      <a:picLocks noChangeAspect="1"/>
                    </pic:cNvPicPr>
                  </pic:nvPicPr>
                  <pic:blipFill rotWithShape="1">
                    <a:blip r:embed="rId24" cstate="print">
                      <a:extLst>
                        <a:ext uri="{28A0092B-C50C-407E-A947-70E740481C1C}">
                          <a14:useLocalDpi xmlns:a14="http://schemas.microsoft.com/office/drawing/2010/main" val="0"/>
                        </a:ext>
                      </a:extLst>
                    </a:blip>
                    <a:srcRect l="13.216%" t="24.416%" r="9.642%" b="12.157%"/>
                    <a:stretch/>
                  </pic:blipFill>
                  <pic:spPr>
                    <a:xfrm>
                      <a:off x="0" y="0"/>
                      <a:ext cx="6426200" cy="1831340"/>
                    </a:xfrm>
                    <a:prstGeom prst="rect">
                      <a:avLst/>
                    </a:prstGeom>
                  </pic:spPr>
                </pic:pic>
              </a:graphicData>
            </a:graphic>
          </wp:anchor>
        </w:drawing>
      </w:r>
      <w:r w:rsidRPr="0062293B">
        <w:rPr>
          <w:noProof/>
        </w:rPr>
        <w:drawing>
          <wp:anchor distT="0" distB="0" distL="114300" distR="114300" simplePos="0" relativeHeight="251661824" behindDoc="0" locked="0" layoutInCell="1" allowOverlap="1" wp14:anchorId="254DB6B1" wp14:editId="316674B3">
            <wp:simplePos x="0" y="0"/>
            <wp:positionH relativeFrom="column">
              <wp:posOffset>0</wp:posOffset>
            </wp:positionH>
            <wp:positionV relativeFrom="paragraph">
              <wp:posOffset>14583410</wp:posOffset>
            </wp:positionV>
            <wp:extent cx="6426200" cy="5130165"/>
            <wp:effectExtent l="0" t="0" r="0" b="0"/>
            <wp:wrapNone/>
            <wp:docPr id="2" name="t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able"/>
                    <pic:cNvPicPr>
                      <a:picLocks noChangeAspect="1"/>
                    </pic:cNvPicPr>
                  </pic:nvPicPr>
                  <pic:blipFill>
                    <a:blip r:embed="rId22"/>
                    <a:stretch>
                      <a:fillRect/>
                    </a:stretch>
                  </pic:blipFill>
                  <pic:spPr>
                    <a:xfrm>
                      <a:off x="0" y="0"/>
                      <a:ext cx="6426200" cy="5130165"/>
                    </a:xfrm>
                    <a:prstGeom prst="rect">
                      <a:avLst/>
                    </a:prstGeom>
                  </pic:spPr>
                </pic:pic>
              </a:graphicData>
            </a:graphic>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32520B" w:rsidRDefault="0032520B" w:rsidP="001A3B3D">
      <w:r>
        <w:separator/>
      </w:r>
    </w:p>
  </w:endnote>
  <w:endnote w:type="continuationSeparator" w:id="0">
    <w:p w:rsidR="0032520B" w:rsidRDefault="0032520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0002AFF" w:usb1="4000ACFF" w:usb2="00000001"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F5DED" w:rsidRPr="006F6D3D" w:rsidRDefault="004F5DE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32520B" w:rsidRDefault="0032520B" w:rsidP="001A3B3D">
      <w:r>
        <w:separator/>
      </w:r>
    </w:p>
  </w:footnote>
  <w:footnote w:type="continuationSeparator" w:id="0">
    <w:p w:rsidR="0032520B" w:rsidRDefault="0032520B"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FFFFFFFE"/>
    <w:multiLevelType w:val="singleLevel"/>
    <w:tmpl w:val="0BE23E9C"/>
    <w:lvl w:ilvl="0">
      <w:numFmt w:val="bullet"/>
      <w:pStyle w:val="DBulletlevel2"/>
      <w:lvlText w:val="*"/>
      <w:lvlJc w:val="start"/>
    </w:lvl>
  </w:abstractNum>
  <w:abstractNum w:abstractNumId="12" w15:restartNumberingAfterBreak="0">
    <w:nsid w:val="16E34A8C"/>
    <w:multiLevelType w:val="singleLevel"/>
    <w:tmpl w:val="1846BD48"/>
    <w:lvl w:ilvl="0">
      <w:start w:val="1"/>
      <w:numFmt w:val="decimal"/>
      <w:pStyle w:val="DEnumeratedList"/>
      <w:lvlText w:val="%1."/>
      <w:lvlJc w:val="start"/>
      <w:pPr>
        <w:ind w:start="28.80pt" w:hanging="14.40pt"/>
      </w:pPr>
      <w:rPr>
        <w:rFonts w:cs="Times New Roman"/>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50034EA"/>
    <w:multiLevelType w:val="hybridMultilevel"/>
    <w:tmpl w:val="7C5C6B6A"/>
    <w:lvl w:ilvl="0" w:tplc="22D0FB34">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E8015D6"/>
    <w:multiLevelType w:val="hybridMultilevel"/>
    <w:tmpl w:val="B4AEE676"/>
    <w:lvl w:ilvl="0" w:tplc="EA462A64">
      <w:start w:val="1"/>
      <w:numFmt w:val="bullet"/>
      <w:lvlText w:val="•"/>
      <w:lvlJc w:val="start"/>
      <w:pPr>
        <w:tabs>
          <w:tab w:val="num" w:pos="36pt"/>
        </w:tabs>
        <w:ind w:start="36pt" w:hanging="18pt"/>
      </w:pPr>
      <w:rPr>
        <w:rFonts w:ascii="Arial" w:hAnsi="Arial" w:hint="default"/>
      </w:rPr>
    </w:lvl>
    <w:lvl w:ilvl="1" w:tplc="82962C50" w:tentative="1">
      <w:start w:val="1"/>
      <w:numFmt w:val="bullet"/>
      <w:lvlText w:val="•"/>
      <w:lvlJc w:val="start"/>
      <w:pPr>
        <w:tabs>
          <w:tab w:val="num" w:pos="72pt"/>
        </w:tabs>
        <w:ind w:start="72pt" w:hanging="18pt"/>
      </w:pPr>
      <w:rPr>
        <w:rFonts w:ascii="Arial" w:hAnsi="Arial" w:hint="default"/>
      </w:rPr>
    </w:lvl>
    <w:lvl w:ilvl="2" w:tplc="85EC1B94" w:tentative="1">
      <w:start w:val="1"/>
      <w:numFmt w:val="bullet"/>
      <w:lvlText w:val="•"/>
      <w:lvlJc w:val="start"/>
      <w:pPr>
        <w:tabs>
          <w:tab w:val="num" w:pos="108pt"/>
        </w:tabs>
        <w:ind w:start="108pt" w:hanging="18pt"/>
      </w:pPr>
      <w:rPr>
        <w:rFonts w:ascii="Arial" w:hAnsi="Arial" w:hint="default"/>
      </w:rPr>
    </w:lvl>
    <w:lvl w:ilvl="3" w:tplc="55A629C0" w:tentative="1">
      <w:start w:val="1"/>
      <w:numFmt w:val="bullet"/>
      <w:lvlText w:val="•"/>
      <w:lvlJc w:val="start"/>
      <w:pPr>
        <w:tabs>
          <w:tab w:val="num" w:pos="144pt"/>
        </w:tabs>
        <w:ind w:start="144pt" w:hanging="18pt"/>
      </w:pPr>
      <w:rPr>
        <w:rFonts w:ascii="Arial" w:hAnsi="Arial" w:hint="default"/>
      </w:rPr>
    </w:lvl>
    <w:lvl w:ilvl="4" w:tplc="FBA21156" w:tentative="1">
      <w:start w:val="1"/>
      <w:numFmt w:val="bullet"/>
      <w:lvlText w:val="•"/>
      <w:lvlJc w:val="start"/>
      <w:pPr>
        <w:tabs>
          <w:tab w:val="num" w:pos="180pt"/>
        </w:tabs>
        <w:ind w:start="180pt" w:hanging="18pt"/>
      </w:pPr>
      <w:rPr>
        <w:rFonts w:ascii="Arial" w:hAnsi="Arial" w:hint="default"/>
      </w:rPr>
    </w:lvl>
    <w:lvl w:ilvl="5" w:tplc="62BE9E1A" w:tentative="1">
      <w:start w:val="1"/>
      <w:numFmt w:val="bullet"/>
      <w:lvlText w:val="•"/>
      <w:lvlJc w:val="start"/>
      <w:pPr>
        <w:tabs>
          <w:tab w:val="num" w:pos="216pt"/>
        </w:tabs>
        <w:ind w:start="216pt" w:hanging="18pt"/>
      </w:pPr>
      <w:rPr>
        <w:rFonts w:ascii="Arial" w:hAnsi="Arial" w:hint="default"/>
      </w:rPr>
    </w:lvl>
    <w:lvl w:ilvl="6" w:tplc="DE3C26BE" w:tentative="1">
      <w:start w:val="1"/>
      <w:numFmt w:val="bullet"/>
      <w:lvlText w:val="•"/>
      <w:lvlJc w:val="start"/>
      <w:pPr>
        <w:tabs>
          <w:tab w:val="num" w:pos="252pt"/>
        </w:tabs>
        <w:ind w:start="252pt" w:hanging="18pt"/>
      </w:pPr>
      <w:rPr>
        <w:rFonts w:ascii="Arial" w:hAnsi="Arial" w:hint="default"/>
      </w:rPr>
    </w:lvl>
    <w:lvl w:ilvl="7" w:tplc="C4241BEC" w:tentative="1">
      <w:start w:val="1"/>
      <w:numFmt w:val="bullet"/>
      <w:lvlText w:val="•"/>
      <w:lvlJc w:val="start"/>
      <w:pPr>
        <w:tabs>
          <w:tab w:val="num" w:pos="288pt"/>
        </w:tabs>
        <w:ind w:start="288pt" w:hanging="18pt"/>
      </w:pPr>
      <w:rPr>
        <w:rFonts w:ascii="Arial" w:hAnsi="Arial" w:hint="default"/>
      </w:rPr>
    </w:lvl>
    <w:lvl w:ilvl="8" w:tplc="9006A74C" w:tentative="1">
      <w:start w:val="1"/>
      <w:numFmt w:val="bullet"/>
      <w:lvlText w:val="•"/>
      <w:lvlJc w:val="start"/>
      <w:pPr>
        <w:tabs>
          <w:tab w:val="num" w:pos="324pt"/>
        </w:tabs>
        <w:ind w:start="324pt" w:hanging="18pt"/>
      </w:pPr>
      <w:rPr>
        <w:rFonts w:ascii="Arial" w:hAnsi="Arial" w:hint="default"/>
      </w:rPr>
    </w:lvl>
  </w:abstractNum>
  <w:abstractNum w:abstractNumId="18" w15:restartNumberingAfterBreak="0">
    <w:nsid w:val="327B4F0B"/>
    <w:multiLevelType w:val="hybridMultilevel"/>
    <w:tmpl w:val="37040654"/>
    <w:lvl w:ilvl="0" w:tplc="04090019">
      <w:start w:val="1"/>
      <w:numFmt w:val="lowerLetter"/>
      <w:lvlText w:val="%1."/>
      <w:lvlJc w:val="start"/>
      <w:pPr>
        <w:ind w:start="72pt" w:hanging="18pt"/>
      </w:pPr>
    </w:lvl>
    <w:lvl w:ilvl="1" w:tplc="04090019">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675C3C"/>
    <w:multiLevelType w:val="hybridMultilevel"/>
    <w:tmpl w:val="1AEE686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189603E"/>
    <w:multiLevelType w:val="multilevel"/>
    <w:tmpl w:val="C5CE16AC"/>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18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0E6466B"/>
    <w:multiLevelType w:val="hybridMultilevel"/>
    <w:tmpl w:val="73EE11E8"/>
    <w:lvl w:ilvl="0" w:tplc="0409000F">
      <w:start w:val="1"/>
      <w:numFmt w:val="decimal"/>
      <w:lvlText w:val="%1."/>
      <w:lvlJc w:val="start"/>
      <w:pPr>
        <w:tabs>
          <w:tab w:val="num" w:pos="32.40pt"/>
        </w:tabs>
        <w:ind w:start="32.40pt" w:hanging="18pt"/>
      </w:pPr>
      <w:rPr>
        <w:rFonts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6A409E4"/>
    <w:multiLevelType w:val="multilevel"/>
    <w:tmpl w:val="433CE3C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7" w15:restartNumberingAfterBreak="0">
    <w:nsid w:val="59E913BF"/>
    <w:multiLevelType w:val="hybridMultilevel"/>
    <w:tmpl w:val="8C368D54"/>
    <w:lvl w:ilvl="0" w:tplc="04090019">
      <w:start w:val="1"/>
      <w:numFmt w:val="lowerLetter"/>
      <w:lvlText w:val="%1."/>
      <w:lvlJc w:val="start"/>
      <w:pPr>
        <w:ind w:start="54pt" w:hanging="18pt"/>
      </w:pPr>
    </w:lvl>
    <w:lvl w:ilvl="1" w:tplc="3398A420">
      <w:start w:val="1"/>
      <w:numFmt w:val="lowerLetter"/>
      <w:lvlText w:val="%2."/>
      <w:lvlJc w:val="start"/>
      <w:pPr>
        <w:ind w:start="90pt" w:hanging="18pt"/>
      </w:pPr>
      <w:rPr>
        <w:rFonts w:ascii="Calibri" w:eastAsia="Times New Roman" w:hAnsi="Calibri" w:cs="Calibri"/>
      </w:r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8" w15:restartNumberingAfterBreak="0">
    <w:nsid w:val="6C402C58"/>
    <w:multiLevelType w:val="hybridMultilevel"/>
    <w:tmpl w:val="6284BCCE"/>
    <w:lvl w:ilvl="0" w:tplc="916EB042">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939430A"/>
    <w:multiLevelType w:val="hybridMultilevel"/>
    <w:tmpl w:val="0ED45CD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9"/>
  </w:num>
  <w:num w:numId="2">
    <w:abstractNumId w:val="28"/>
  </w:num>
  <w:num w:numId="3">
    <w:abstractNumId w:val="16"/>
  </w:num>
  <w:num w:numId="4">
    <w:abstractNumId w:val="22"/>
  </w:num>
  <w:num w:numId="5">
    <w:abstractNumId w:val="22"/>
  </w:num>
  <w:num w:numId="6">
    <w:abstractNumId w:val="22"/>
  </w:num>
  <w:num w:numId="7">
    <w:abstractNumId w:val="22"/>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26"/>
  </w:num>
  <w:num w:numId="27">
    <w:abstractNumId w:val="21"/>
  </w:num>
  <w:num w:numId="28">
    <w:abstractNumId w:val="19"/>
  </w:num>
  <w:num w:numId="29">
    <w:abstractNumId w:val="24"/>
  </w:num>
  <w:num w:numId="30">
    <w:abstractNumId w:val="30"/>
  </w:num>
  <w:num w:numId="31">
    <w:abstractNumId w:val="25"/>
  </w:num>
  <w:num w:numId="32">
    <w:abstractNumId w:val="25"/>
  </w:num>
  <w:num w:numId="33">
    <w:abstractNumId w:val="25"/>
  </w:num>
  <w:num w:numId="34">
    <w:abstractNumId w:val="25"/>
  </w:num>
  <w:num w:numId="35">
    <w:abstractNumId w:val="27"/>
  </w:num>
  <w:num w:numId="36">
    <w:abstractNumId w:val="18"/>
  </w:num>
  <w:num w:numId="37">
    <w:abstractNumId w:val="28"/>
    <w:lvlOverride w:ilvl="0">
      <w:startOverride w:val="3"/>
    </w:lvlOverride>
  </w:num>
  <w:num w:numId="38">
    <w:abstractNumId w:val="11"/>
    <w:lvlOverride w:ilvl="0">
      <w:lvl w:ilvl="0">
        <w:start w:val="1"/>
        <w:numFmt w:val="bullet"/>
        <w:pStyle w:val="DBulletlevel2"/>
        <w:lvlText w:val=""/>
        <w:lvlJc w:val="start"/>
        <w:pPr>
          <w:ind w:start="57.25pt" w:hanging="14.15pt"/>
        </w:pPr>
        <w:rPr>
          <w:rFonts w:ascii="Symbol" w:hAnsi="Symbol" w:hint="default"/>
        </w:rPr>
      </w:lvl>
    </w:lvlOverride>
  </w:num>
  <w:num w:numId="39">
    <w:abstractNumId w:val="12"/>
  </w:num>
  <w:num w:numId="40">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2NzM0Nzc1N7C0NDFS0lEKTi0uzszPAykwqgUA4oD+4iwAAAA="/>
  </w:docVars>
  <w:rsids>
    <w:rsidRoot w:val="009303D9"/>
    <w:rsid w:val="0000768D"/>
    <w:rsid w:val="0004781E"/>
    <w:rsid w:val="000826BF"/>
    <w:rsid w:val="0008758A"/>
    <w:rsid w:val="000C1E68"/>
    <w:rsid w:val="0012344F"/>
    <w:rsid w:val="001807B4"/>
    <w:rsid w:val="001A2EFD"/>
    <w:rsid w:val="001A3B3D"/>
    <w:rsid w:val="001B67DC"/>
    <w:rsid w:val="00205628"/>
    <w:rsid w:val="002254A9"/>
    <w:rsid w:val="00233D97"/>
    <w:rsid w:val="002347A2"/>
    <w:rsid w:val="002850E3"/>
    <w:rsid w:val="002E386A"/>
    <w:rsid w:val="0032520B"/>
    <w:rsid w:val="00354FCF"/>
    <w:rsid w:val="003A19E2"/>
    <w:rsid w:val="003B2B40"/>
    <w:rsid w:val="003B4E04"/>
    <w:rsid w:val="003F5A08"/>
    <w:rsid w:val="00420716"/>
    <w:rsid w:val="004325FB"/>
    <w:rsid w:val="004432BA"/>
    <w:rsid w:val="0044407E"/>
    <w:rsid w:val="00447BB9"/>
    <w:rsid w:val="0046031D"/>
    <w:rsid w:val="00473AC9"/>
    <w:rsid w:val="0047496F"/>
    <w:rsid w:val="004D72B5"/>
    <w:rsid w:val="004E57D5"/>
    <w:rsid w:val="004F5DED"/>
    <w:rsid w:val="00551B7F"/>
    <w:rsid w:val="0056610F"/>
    <w:rsid w:val="00575BCA"/>
    <w:rsid w:val="005B0344"/>
    <w:rsid w:val="005B520E"/>
    <w:rsid w:val="005E2800"/>
    <w:rsid w:val="00605825"/>
    <w:rsid w:val="0062293B"/>
    <w:rsid w:val="00645D22"/>
    <w:rsid w:val="00651A08"/>
    <w:rsid w:val="00654204"/>
    <w:rsid w:val="00670434"/>
    <w:rsid w:val="006B2C80"/>
    <w:rsid w:val="006B6B66"/>
    <w:rsid w:val="006E1638"/>
    <w:rsid w:val="006F6D3D"/>
    <w:rsid w:val="00715BEA"/>
    <w:rsid w:val="00740EEA"/>
    <w:rsid w:val="00783020"/>
    <w:rsid w:val="00794804"/>
    <w:rsid w:val="007A25CB"/>
    <w:rsid w:val="007B320C"/>
    <w:rsid w:val="007B33F1"/>
    <w:rsid w:val="007B6DDA"/>
    <w:rsid w:val="007C0308"/>
    <w:rsid w:val="007C2FF2"/>
    <w:rsid w:val="007D6232"/>
    <w:rsid w:val="007F1F99"/>
    <w:rsid w:val="007F768F"/>
    <w:rsid w:val="0080791D"/>
    <w:rsid w:val="0081075C"/>
    <w:rsid w:val="00836367"/>
    <w:rsid w:val="00873603"/>
    <w:rsid w:val="008A2C7D"/>
    <w:rsid w:val="008B6524"/>
    <w:rsid w:val="008C4B23"/>
    <w:rsid w:val="008D0475"/>
    <w:rsid w:val="008E40E1"/>
    <w:rsid w:val="008F6E2C"/>
    <w:rsid w:val="009303D9"/>
    <w:rsid w:val="00933C64"/>
    <w:rsid w:val="009359B9"/>
    <w:rsid w:val="00972203"/>
    <w:rsid w:val="009F1D79"/>
    <w:rsid w:val="00A059B3"/>
    <w:rsid w:val="00AB1B45"/>
    <w:rsid w:val="00AC0EBA"/>
    <w:rsid w:val="00AE3409"/>
    <w:rsid w:val="00B11A60"/>
    <w:rsid w:val="00B22613"/>
    <w:rsid w:val="00B44A76"/>
    <w:rsid w:val="00B768D1"/>
    <w:rsid w:val="00B80C6C"/>
    <w:rsid w:val="00BA1025"/>
    <w:rsid w:val="00BC3420"/>
    <w:rsid w:val="00BD670B"/>
    <w:rsid w:val="00BE7D3C"/>
    <w:rsid w:val="00BF5FF6"/>
    <w:rsid w:val="00C0207F"/>
    <w:rsid w:val="00C16117"/>
    <w:rsid w:val="00C3075A"/>
    <w:rsid w:val="00C919A4"/>
    <w:rsid w:val="00CA4392"/>
    <w:rsid w:val="00CC0498"/>
    <w:rsid w:val="00CC393F"/>
    <w:rsid w:val="00D2176E"/>
    <w:rsid w:val="00D35DBF"/>
    <w:rsid w:val="00D475DE"/>
    <w:rsid w:val="00D52517"/>
    <w:rsid w:val="00D632BE"/>
    <w:rsid w:val="00D72D06"/>
    <w:rsid w:val="00D7522C"/>
    <w:rsid w:val="00D7536F"/>
    <w:rsid w:val="00D76668"/>
    <w:rsid w:val="00E07383"/>
    <w:rsid w:val="00E165BC"/>
    <w:rsid w:val="00E31DC1"/>
    <w:rsid w:val="00E61E12"/>
    <w:rsid w:val="00E7596C"/>
    <w:rsid w:val="00E878F2"/>
    <w:rsid w:val="00E96B60"/>
    <w:rsid w:val="00E97FDC"/>
    <w:rsid w:val="00ED0149"/>
    <w:rsid w:val="00EF7DE3"/>
    <w:rsid w:val="00F03103"/>
    <w:rsid w:val="00F271DE"/>
    <w:rsid w:val="00F627DA"/>
    <w:rsid w:val="00F7288F"/>
    <w:rsid w:val="00F83234"/>
    <w:rsid w:val="00F847A6"/>
    <w:rsid w:val="00F9441B"/>
    <w:rsid w:val="00FA4C32"/>
    <w:rsid w:val="00FE2F5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2A2EC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12344F"/>
    <w:pPr>
      <w:numPr>
        <w:ilvl w:val="2"/>
        <w:numId w:val="4"/>
      </w:numPr>
      <w:tabs>
        <w:tab w:val="clear" w:pos="180pt"/>
      </w:tabs>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12344F"/>
    <w:rPr>
      <w:color w:val="0000FF"/>
      <w:u w:val="single"/>
    </w:rPr>
  </w:style>
  <w:style w:type="character" w:styleId="CommentReference">
    <w:name w:val="annotation reference"/>
    <w:basedOn w:val="DefaultParagraphFont"/>
    <w:uiPriority w:val="99"/>
    <w:unhideWhenUsed/>
    <w:rsid w:val="0012344F"/>
    <w:rPr>
      <w:sz w:val="16"/>
      <w:szCs w:val="16"/>
    </w:rPr>
  </w:style>
  <w:style w:type="paragraph" w:styleId="CommentText">
    <w:name w:val="annotation text"/>
    <w:basedOn w:val="Normal"/>
    <w:link w:val="CommentTextChar"/>
    <w:uiPriority w:val="99"/>
    <w:unhideWhenUsed/>
    <w:rsid w:val="0012344F"/>
    <w:pPr>
      <w:jc w:val="start"/>
    </w:pPr>
    <w:rPr>
      <w:rFonts w:ascii="Arial" w:eastAsia="Arial" w:hAnsi="Arial" w:cs="Arial"/>
      <w:lang w:val="en"/>
    </w:rPr>
  </w:style>
  <w:style w:type="character" w:customStyle="1" w:styleId="CommentTextChar">
    <w:name w:val="Comment Text Char"/>
    <w:basedOn w:val="DefaultParagraphFont"/>
    <w:link w:val="CommentText"/>
    <w:uiPriority w:val="99"/>
    <w:rsid w:val="0012344F"/>
    <w:rPr>
      <w:rFonts w:ascii="Arial" w:eastAsia="Arial" w:hAnsi="Arial" w:cs="Arial"/>
      <w:lang w:val="en"/>
    </w:rPr>
  </w:style>
  <w:style w:type="paragraph" w:styleId="BalloonText">
    <w:name w:val="Balloon Text"/>
    <w:basedOn w:val="Normal"/>
    <w:link w:val="BalloonTextChar"/>
    <w:rsid w:val="0012344F"/>
    <w:rPr>
      <w:rFonts w:ascii="Segoe UI" w:hAnsi="Segoe UI" w:cs="Segoe UI"/>
      <w:sz w:val="18"/>
      <w:szCs w:val="18"/>
    </w:rPr>
  </w:style>
  <w:style w:type="character" w:customStyle="1" w:styleId="BalloonTextChar">
    <w:name w:val="Balloon Text Char"/>
    <w:basedOn w:val="DefaultParagraphFont"/>
    <w:link w:val="BalloonText"/>
    <w:rsid w:val="0012344F"/>
    <w:rPr>
      <w:rFonts w:ascii="Segoe UI" w:hAnsi="Segoe UI" w:cs="Segoe UI"/>
      <w:sz w:val="18"/>
      <w:szCs w:val="18"/>
    </w:rPr>
  </w:style>
  <w:style w:type="table" w:customStyle="1" w:styleId="3">
    <w:name w:val="3"/>
    <w:basedOn w:val="TableNormal"/>
    <w:rsid w:val="0062293B"/>
    <w:pPr>
      <w:spacing w:line="13.80pt" w:lineRule="auto"/>
    </w:pPr>
    <w:rPr>
      <w:rFonts w:ascii="Arial" w:eastAsia="Arial" w:hAnsi="Arial" w:cs="Arial"/>
      <w:sz w:val="22"/>
      <w:szCs w:val="22"/>
      <w:lang w:val="en"/>
    </w:rPr>
    <w:tblPr>
      <w:tblStyleRowBandSize w:val="1"/>
      <w:tblStyleColBandSize w:val="1"/>
      <w:tblCellMar>
        <w:top w:w="5pt" w:type="dxa"/>
        <w:start w:w="5pt" w:type="dxa"/>
        <w:bottom w:w="5pt" w:type="dxa"/>
        <w:end w:w="5pt" w:type="dxa"/>
      </w:tblCellMar>
    </w:tblPr>
  </w:style>
  <w:style w:type="paragraph" w:styleId="ListParagraph">
    <w:name w:val="List Paragraph"/>
    <w:basedOn w:val="Normal"/>
    <w:uiPriority w:val="34"/>
    <w:qFormat/>
    <w:rsid w:val="0062293B"/>
    <w:pPr>
      <w:spacing w:line="13.80pt" w:lineRule="auto"/>
      <w:ind w:start="36pt"/>
      <w:contextualSpacing/>
      <w:jc w:val="start"/>
    </w:pPr>
    <w:rPr>
      <w:rFonts w:ascii="Arial" w:eastAsia="Arial" w:hAnsi="Arial" w:cs="Arial"/>
      <w:sz w:val="22"/>
      <w:szCs w:val="22"/>
      <w:lang w:val="en"/>
    </w:rPr>
  </w:style>
  <w:style w:type="character" w:styleId="Emphasis">
    <w:name w:val="Emphasis"/>
    <w:basedOn w:val="DefaultParagraphFont"/>
    <w:uiPriority w:val="20"/>
    <w:qFormat/>
    <w:rsid w:val="0062293B"/>
    <w:rPr>
      <w:i/>
      <w:iCs/>
    </w:rPr>
  </w:style>
  <w:style w:type="paragraph" w:styleId="Caption">
    <w:name w:val="caption"/>
    <w:basedOn w:val="Normal"/>
    <w:next w:val="Normal"/>
    <w:uiPriority w:val="35"/>
    <w:unhideWhenUsed/>
    <w:qFormat/>
    <w:rsid w:val="0081075C"/>
    <w:pPr>
      <w:spacing w:after="10pt"/>
    </w:pPr>
    <w:rPr>
      <w:i/>
      <w:iCs/>
      <w:color w:val="44546A" w:themeColor="text2"/>
      <w:sz w:val="18"/>
      <w:szCs w:val="18"/>
    </w:rPr>
  </w:style>
  <w:style w:type="paragraph" w:styleId="NormalWeb">
    <w:name w:val="Normal (Web)"/>
    <w:basedOn w:val="Normal"/>
    <w:uiPriority w:val="99"/>
    <w:unhideWhenUsed/>
    <w:rsid w:val="00CC0498"/>
    <w:pPr>
      <w:spacing w:before="5pt" w:beforeAutospacing="1" w:after="5pt" w:afterAutospacing="1"/>
      <w:jc w:val="start"/>
    </w:pPr>
    <w:rPr>
      <w:rFonts w:eastAsia="Times New Roman"/>
      <w:sz w:val="24"/>
      <w:szCs w:val="24"/>
      <w:lang w:eastAsia="zh-CN"/>
    </w:rPr>
  </w:style>
  <w:style w:type="character" w:customStyle="1" w:styleId="apple-converted-space">
    <w:name w:val="apple-converted-space"/>
    <w:basedOn w:val="DefaultParagraphFont"/>
    <w:rsid w:val="00CC0498"/>
  </w:style>
  <w:style w:type="paragraph" w:customStyle="1" w:styleId="2Authors">
    <w:name w:val="2_Authors"/>
    <w:basedOn w:val="Normal"/>
    <w:qFormat/>
    <w:rsid w:val="004E57D5"/>
    <w:pPr>
      <w:overflowPunct w:val="0"/>
      <w:autoSpaceDE w:val="0"/>
      <w:autoSpaceDN w:val="0"/>
      <w:adjustRightInd w:val="0"/>
      <w:spacing w:before="12pt" w:after="12pt"/>
    </w:pPr>
    <w:rPr>
      <w:rFonts w:eastAsia="Times New Roman"/>
      <w:b/>
      <w:sz w:val="24"/>
      <w:lang w:eastAsia="fr-FR"/>
    </w:rPr>
  </w:style>
  <w:style w:type="paragraph" w:customStyle="1" w:styleId="3Affiliations">
    <w:name w:val="3_Affiliations"/>
    <w:basedOn w:val="Normal"/>
    <w:qFormat/>
    <w:rsid w:val="004E57D5"/>
    <w:pPr>
      <w:overflowPunct w:val="0"/>
      <w:autoSpaceDE w:val="0"/>
      <w:autoSpaceDN w:val="0"/>
      <w:adjustRightInd w:val="0"/>
    </w:pPr>
    <w:rPr>
      <w:rFonts w:eastAsia="Times New Roman"/>
      <w:i/>
      <w:color w:val="000000"/>
      <w:lang w:eastAsia="fr-FR"/>
    </w:rPr>
  </w:style>
  <w:style w:type="paragraph" w:customStyle="1" w:styleId="8KeywordList">
    <w:name w:val="8_Keyword_List"/>
    <w:qFormat/>
    <w:rsid w:val="00E97FDC"/>
    <w:rPr>
      <w:rFonts w:eastAsia="Times New Roman"/>
      <w:noProof/>
      <w:lang w:eastAsia="fr-FR"/>
    </w:rPr>
  </w:style>
  <w:style w:type="paragraph" w:customStyle="1" w:styleId="DBulletlevel2">
    <w:name w:val="D_Bullet_level_2"/>
    <w:basedOn w:val="Normal"/>
    <w:qFormat/>
    <w:rsid w:val="00E97FDC"/>
    <w:pPr>
      <w:numPr>
        <w:numId w:val="38"/>
      </w:numPr>
      <w:overflowPunct w:val="0"/>
      <w:autoSpaceDE w:val="0"/>
      <w:autoSpaceDN w:val="0"/>
      <w:adjustRightInd w:val="0"/>
      <w:spacing w:before="3pt" w:after="3pt"/>
      <w:jc w:val="start"/>
      <w:textAlignment w:val="baseline"/>
    </w:pPr>
    <w:rPr>
      <w:rFonts w:eastAsia="Times New Roman"/>
      <w:noProof/>
      <w:lang w:eastAsia="fr-FR"/>
    </w:rPr>
  </w:style>
  <w:style w:type="paragraph" w:customStyle="1" w:styleId="1TITLE">
    <w:name w:val="1_TITLE"/>
    <w:basedOn w:val="Normal"/>
    <w:qFormat/>
    <w:rsid w:val="004F5DED"/>
    <w:pPr>
      <w:overflowPunct w:val="0"/>
      <w:autoSpaceDE w:val="0"/>
      <w:autoSpaceDN w:val="0"/>
      <w:adjustRightInd w:val="0"/>
      <w:spacing w:before="60pt" w:after="12pt"/>
      <w:textAlignment w:val="baseline"/>
    </w:pPr>
    <w:rPr>
      <w:rFonts w:eastAsia="Times New Roman"/>
      <w:b/>
      <w:kern w:val="28"/>
      <w:sz w:val="28"/>
      <w:lang w:eastAsia="fr-FR"/>
    </w:rPr>
  </w:style>
  <w:style w:type="paragraph" w:customStyle="1" w:styleId="ALevelOneHeader">
    <w:name w:val="A_Level_One_Header"/>
    <w:basedOn w:val="Heading1"/>
    <w:qFormat/>
    <w:rsid w:val="009359B9"/>
    <w:pPr>
      <w:keepLines w:val="0"/>
      <w:numPr>
        <w:numId w:val="0"/>
      </w:numPr>
      <w:tabs>
        <w:tab w:val="clear" w:pos="10.80pt"/>
      </w:tabs>
      <w:overflowPunct w:val="0"/>
      <w:autoSpaceDE w:val="0"/>
      <w:autoSpaceDN w:val="0"/>
      <w:adjustRightInd w:val="0"/>
      <w:spacing w:before="12pt" w:after="12pt"/>
      <w:jc w:val="start"/>
      <w:textAlignment w:val="baseline"/>
    </w:pPr>
    <w:rPr>
      <w:rFonts w:eastAsia="Times New Roman"/>
      <w:b/>
      <w:smallCaps w:val="0"/>
      <w:kern w:val="28"/>
      <w:sz w:val="24"/>
      <w:lang w:eastAsia="fr-FR"/>
    </w:rPr>
  </w:style>
  <w:style w:type="paragraph" w:customStyle="1" w:styleId="DBodyText">
    <w:name w:val="D_Body_Text"/>
    <w:basedOn w:val="Normal"/>
    <w:link w:val="DBodyTextChar"/>
    <w:qFormat/>
    <w:rsid w:val="009359B9"/>
    <w:pPr>
      <w:overflowPunct w:val="0"/>
      <w:autoSpaceDE w:val="0"/>
      <w:autoSpaceDN w:val="0"/>
      <w:adjustRightInd w:val="0"/>
      <w:spacing w:before="3pt" w:after="3pt"/>
      <w:jc w:val="both"/>
      <w:textAlignment w:val="baseline"/>
    </w:pPr>
    <w:rPr>
      <w:rFonts w:eastAsia="Times New Roman"/>
      <w:noProof/>
      <w:lang w:eastAsia="fr-FR"/>
    </w:rPr>
  </w:style>
  <w:style w:type="paragraph" w:customStyle="1" w:styleId="DEnumeratedList">
    <w:name w:val="D_Enumerated_List"/>
    <w:basedOn w:val="Normal"/>
    <w:qFormat/>
    <w:rsid w:val="009359B9"/>
    <w:pPr>
      <w:numPr>
        <w:numId w:val="39"/>
      </w:numPr>
      <w:overflowPunct w:val="0"/>
      <w:autoSpaceDE w:val="0"/>
      <w:autoSpaceDN w:val="0"/>
      <w:adjustRightInd w:val="0"/>
      <w:spacing w:before="3pt" w:after="3pt"/>
      <w:jc w:val="start"/>
      <w:textAlignment w:val="baseline"/>
    </w:pPr>
    <w:rPr>
      <w:rFonts w:eastAsia="Times New Roman"/>
      <w:noProof/>
      <w:lang w:eastAsia="fr-FR"/>
    </w:rPr>
  </w:style>
  <w:style w:type="character" w:customStyle="1" w:styleId="DBodyTextChar">
    <w:name w:val="D_Body_Text Char"/>
    <w:basedOn w:val="DefaultParagraphFont"/>
    <w:link w:val="DBodyText"/>
    <w:rsid w:val="009359B9"/>
    <w:rPr>
      <w:rFonts w:eastAsia="Times New Roman"/>
      <w:noProof/>
      <w:lang w:eastAsia="fr-FR"/>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62145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1966335">
          <w:marLeft w:val="36pt"/>
          <w:marRight w:val="0pt"/>
          <w:marTop w:val="0pt"/>
          <w:marBottom w:val="0pt"/>
          <w:divBdr>
            <w:top w:val="none" w:sz="0" w:space="0" w:color="auto"/>
            <w:left w:val="none" w:sz="0" w:space="0" w:color="auto"/>
            <w:bottom w:val="none" w:sz="0" w:space="0" w:color="auto"/>
            <w:right w:val="none" w:sz="0" w:space="0" w:color="auto"/>
          </w:divBdr>
        </w:div>
      </w:divsChild>
    </w:div>
    <w:div w:id="435448037">
      <w:bodyDiv w:val="1"/>
      <w:marLeft w:val="0pt"/>
      <w:marRight w:val="0pt"/>
      <w:marTop w:val="0pt"/>
      <w:marBottom w:val="0pt"/>
      <w:divBdr>
        <w:top w:val="none" w:sz="0" w:space="0" w:color="auto"/>
        <w:left w:val="none" w:sz="0" w:space="0" w:color="auto"/>
        <w:bottom w:val="none" w:sz="0" w:space="0" w:color="auto"/>
        <w:right w:val="none" w:sz="0" w:space="0" w:color="auto"/>
      </w:divBdr>
    </w:div>
    <w:div w:id="681248413">
      <w:bodyDiv w:val="1"/>
      <w:marLeft w:val="0pt"/>
      <w:marRight w:val="0pt"/>
      <w:marTop w:val="0pt"/>
      <w:marBottom w:val="0pt"/>
      <w:divBdr>
        <w:top w:val="none" w:sz="0" w:space="0" w:color="auto"/>
        <w:left w:val="none" w:sz="0" w:space="0" w:color="auto"/>
        <w:bottom w:val="none" w:sz="0" w:space="0" w:color="auto"/>
        <w:right w:val="none" w:sz="0" w:space="0" w:color="auto"/>
      </w:divBdr>
    </w:div>
    <w:div w:id="7699286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6003991">
          <w:marLeft w:val="0pt"/>
          <w:marRight w:val="0pt"/>
          <w:marTop w:val="0pt"/>
          <w:marBottom w:val="0pt"/>
          <w:divBdr>
            <w:top w:val="none" w:sz="0" w:space="0" w:color="auto"/>
            <w:left w:val="none" w:sz="0" w:space="0" w:color="auto"/>
            <w:bottom w:val="none" w:sz="0" w:space="0" w:color="auto"/>
            <w:right w:val="none" w:sz="0" w:space="0" w:color="auto"/>
          </w:divBdr>
          <w:divsChild>
            <w:div w:id="1788159355">
              <w:marLeft w:val="0pt"/>
              <w:marRight w:val="0pt"/>
              <w:marTop w:val="0pt"/>
              <w:marBottom w:val="0pt"/>
              <w:divBdr>
                <w:top w:val="none" w:sz="0" w:space="0" w:color="auto"/>
                <w:left w:val="none" w:sz="0" w:space="0" w:color="auto"/>
                <w:bottom w:val="none" w:sz="0" w:space="0" w:color="auto"/>
                <w:right w:val="none" w:sz="0" w:space="0" w:color="auto"/>
              </w:divBdr>
            </w:div>
          </w:divsChild>
        </w:div>
        <w:div w:id="2093622366">
          <w:marLeft w:val="0pt"/>
          <w:marRight w:val="0pt"/>
          <w:marTop w:val="0pt"/>
          <w:marBottom w:val="0pt"/>
          <w:divBdr>
            <w:top w:val="none" w:sz="0" w:space="0" w:color="auto"/>
            <w:left w:val="none" w:sz="0" w:space="0" w:color="auto"/>
            <w:bottom w:val="none" w:sz="0" w:space="0" w:color="auto"/>
            <w:right w:val="none" w:sz="0" w:space="0" w:color="auto"/>
          </w:divBdr>
          <w:divsChild>
            <w:div w:id="1603564522">
              <w:marLeft w:val="0pt"/>
              <w:marRight w:val="0pt"/>
              <w:marTop w:val="0pt"/>
              <w:marBottom w:val="0pt"/>
              <w:divBdr>
                <w:top w:val="none" w:sz="0" w:space="0" w:color="auto"/>
                <w:left w:val="none" w:sz="0" w:space="0" w:color="auto"/>
                <w:bottom w:val="none" w:sz="0" w:space="0" w:color="auto"/>
                <w:right w:val="none" w:sz="0" w:space="0" w:color="auto"/>
              </w:divBdr>
              <w:divsChild>
                <w:div w:id="1447502049">
                  <w:marLeft w:val="0pt"/>
                  <w:marRight w:val="0pt"/>
                  <w:marTop w:val="0pt"/>
                  <w:marBottom w:val="0pt"/>
                  <w:divBdr>
                    <w:top w:val="none" w:sz="0" w:space="0" w:color="auto"/>
                    <w:left w:val="none" w:sz="0" w:space="0" w:color="auto"/>
                    <w:bottom w:val="none" w:sz="0" w:space="0" w:color="auto"/>
                    <w:right w:val="none" w:sz="0" w:space="0" w:color="auto"/>
                  </w:divBdr>
                  <w:divsChild>
                    <w:div w:id="1884125656">
                      <w:marLeft w:val="0pt"/>
                      <w:marRight w:val="0pt"/>
                      <w:marTop w:val="0pt"/>
                      <w:marBottom w:val="0pt"/>
                      <w:divBdr>
                        <w:top w:val="none" w:sz="0" w:space="0" w:color="auto"/>
                        <w:left w:val="none" w:sz="0" w:space="0" w:color="auto"/>
                        <w:bottom w:val="none" w:sz="0" w:space="0" w:color="auto"/>
                        <w:right w:val="none" w:sz="0" w:space="0" w:color="auto"/>
                      </w:divBdr>
                      <w:divsChild>
                        <w:div w:id="958530703">
                          <w:marLeft w:val="0pt"/>
                          <w:marRight w:val="0pt"/>
                          <w:marTop w:val="0pt"/>
                          <w:marBottom w:val="0pt"/>
                          <w:divBdr>
                            <w:top w:val="none" w:sz="0" w:space="0" w:color="auto"/>
                            <w:left w:val="none" w:sz="0" w:space="0" w:color="auto"/>
                            <w:bottom w:val="none" w:sz="0" w:space="0" w:color="auto"/>
                            <w:right w:val="none" w:sz="0" w:space="0" w:color="auto"/>
                          </w:divBdr>
                        </w:div>
                      </w:divsChild>
                    </w:div>
                    <w:div w:id="555205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96557760">
      <w:bodyDiv w:val="1"/>
      <w:marLeft w:val="0pt"/>
      <w:marRight w:val="0pt"/>
      <w:marTop w:val="0pt"/>
      <w:marBottom w:val="0pt"/>
      <w:divBdr>
        <w:top w:val="none" w:sz="0" w:space="0" w:color="auto"/>
        <w:left w:val="none" w:sz="0" w:space="0" w:color="auto"/>
        <w:bottom w:val="none" w:sz="0" w:space="0" w:color="auto"/>
        <w:right w:val="none" w:sz="0" w:space="0" w:color="auto"/>
      </w:divBdr>
    </w:div>
    <w:div w:id="206833479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sciencedirect.com/topics/medicine-and-dentistry/case-control-study" TargetMode="External"/><Relationship Id="rId18" Type="http://purl.oclc.org/ooxml/officeDocument/relationships/image" Target="media/image3.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6.jpeg"/><Relationship Id="rId7" Type="http://purl.oclc.org/ooxml/officeDocument/relationships/endnotes" Target="endnotes.xml"/><Relationship Id="rId12" Type="http://purl.oclc.org/ooxml/officeDocument/relationships/hyperlink" Target="https://www.sciencedirect.com/topics/medicine-and-dentistry/case-definition" TargetMode="External"/><Relationship Id="rId17" Type="http://purl.oclc.org/ooxml/officeDocument/relationships/hyperlink" Target="https://github.com/fmfn/BayesianOptimization" TargetMode="External"/><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2.png"/><Relationship Id="rId20" Type="http://purl.oclc.org/ooxml/officeDocument/relationships/image" Target="media/image5.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9.jpeg"/><Relationship Id="rId5" Type="http://purl.oclc.org/ooxml/officeDocument/relationships/webSettings" Target="webSettings.xml"/><Relationship Id="rId15" Type="http://purl.oclc.org/ooxml/officeDocument/relationships/hyperlink" Target="https://github.com/zalandoresearch/pt-dilate-rnn" TargetMode="External"/><Relationship Id="rId23" Type="http://purl.oclc.org/ooxml/officeDocument/relationships/image" Target="media/image8.jpeg"/><Relationship Id="rId10" Type="http://purl.oclc.org/ooxml/officeDocument/relationships/hyperlink" Target="mailto:Degui.Zhi@uth.tmc.edu" TargetMode="External"/><Relationship Id="rId19" Type="http://purl.oclc.org/ooxml/officeDocument/relationships/image" Target="media/image4.png"/><Relationship Id="rId4" Type="http://purl.oclc.org/ooxml/officeDocument/relationships/settings" Target="settings.xml"/><Relationship Id="rId9" Type="http://purl.oclc.org/ooxml/officeDocument/relationships/hyperlink" Target="mailto:Hua.Xu@uth.tmc.edu" TargetMode="External"/><Relationship Id="rId14" Type="http://purl.oclc.org/ooxml/officeDocument/relationships/hyperlink" Target="https://www.sciencedirect.com/science/article/pii/S1532046418301175" TargetMode="External"/><Relationship Id="rId22" Type="http://purl.oclc.org/ooxml/officeDocument/relationships/image" Target="media/image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4C87224-979E-44AF-B0D9-4011366CC8D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117</TotalTime>
  <Pages>8</Pages>
  <Words>16160</Words>
  <Characters>92117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Bekhet, Laila R</cp:lastModifiedBy>
  <cp:revision>4</cp:revision>
  <dcterms:created xsi:type="dcterms:W3CDTF">2019-06-03T01:29:00Z</dcterms:created>
  <dcterms:modified xsi:type="dcterms:W3CDTF">2019-06-03T04:07:00Z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Document_1">
    <vt:lpwstr>True</vt:lpwstr>
  </property>
  <property fmtid="{D5CDD505-2E9C-101B-9397-08002B2CF9AE}" pid="3" name="Mendeley Unique User Id_1">
    <vt:lpwstr>8dc29c15-ee35-363b-a2df-75ba7bc7bd23</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http://www.zotero.org/styles/jamia</vt:lpwstr>
  </property>
  <property fmtid="{D5CDD505-2E9C-101B-9397-08002B2CF9AE}" pid="18" name="Mendeley Recent Style Name 6_1">
    <vt:lpwstr>JAMIA</vt:lpwstr>
  </property>
  <property fmtid="{D5CDD505-2E9C-101B-9397-08002B2CF9AE}" pid="19" name="Mendeley Recent Style Id 7_1">
    <vt:lpwstr>http://www.zotero.org/styles/journal-of-biomedical-informatics</vt:lpwstr>
  </property>
  <property fmtid="{D5CDD505-2E9C-101B-9397-08002B2CF9AE}" pid="20" name="Mendeley Recent Style Name 7_1">
    <vt:lpwstr>Journal of Biomedical Informatics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