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APC waiver and discount request</w:t>
      </w:r>
    </w:p>
    <w:p>
      <w:r>
        <w:t>Date: 29 October 2026</w:t>
      </w:r>
    </w:p>
    <w:p>
      <w:r>
        <w:t>Manuscript title:</w:t>
      </w:r>
    </w:p>
    <w:p>
      <w:r>
        <w:t>```text Unit-aware analysis reveals opposing donor and within-donor disease signals in human kidney single-cell data ```</w:t>
      </w:r>
    </w:p>
    <w:p>
      <w:r>
        <w:t>Journal: Genome Medicine</w:t>
      </w:r>
    </w:p>
    <w:p>
      <w:r>
        <w:t>Article type: Research Article</w:t>
      </w:r>
    </w:p>
    <w:p>
      <w:r>
        <w:t>Corresponding author: Peng Zhi</w:t>
      </w:r>
    </w:p>
    <w:p>
      <w:r>
        <w:t>Institution: Henan Provincial Chest Hospital, Zhengzhou, China</w:t>
      </w:r>
    </w:p>
    <w:p>
      <w:r>
        <w:t>Email: zhiyoyo0409@163.com</w:t>
      </w:r>
    </w:p>
    <w:p>
      <w:r>
        <w:t>ORCID: 0009-0003-2201-5131</w:t>
      </w:r>
    </w:p>
    <w:p>
      <w:pPr>
        <w:pStyle w:val="Heading2"/>
      </w:pPr>
      <w:r>
        <w:t>Request</w:t>
      </w:r>
    </w:p>
    <w:p>
      <w:r>
        <w:t>We request a full APC waiver. If a full waiver is not possible, we request the maximum discretionary discount available.</w:t>
      </w:r>
    </w:p>
    <w:p>
      <w:pPr>
        <w:pStyle w:val="Heading2"/>
      </w:pPr>
      <w:r>
        <w:t>Financial need</w:t>
      </w:r>
    </w:p>
    <w:p>
      <w:r>
        <w:t>This research received no specific grant from any funding agency in the public, commercial, or not-for-profit sectors. The authors have no dedicated institutional open-access fund and cannot pay the current Genome Medicine APC of GBP 3,690 / USD 5,490 / EUR 4,490 from personal resources.</w:t>
      </w:r>
    </w:p>
    <w:p>
      <w:pPr>
        <w:pStyle w:val="Heading2"/>
      </w:pPr>
      <w:r>
        <w:t>Scientific context</w:t>
      </w:r>
    </w:p>
    <w:p>
      <w:r>
        <w:t>The manuscript develops and validates a unit-aware framework for single-cell disease studies. It analyzes 106,851 human kidney TAL cells from 223 donors, includes two non-KPMP support cohorts, and provides a prespecified 400-gene panel with expression-matched random sets and an effect-aware conditional null. The analysis code and derived data will be archived with a new persistent DOI before formal submission and will be openly available.</w:t>
      </w:r>
    </w:p>
    <w:p>
      <w:r>
        <w:t>The work addresses a general risk in genomic medicine: donor-level, neighborhood-level, and within-donor analyses can support opposite conclusions about the same cell state. A reusable framework can help other investigators avoid treating these quantities as interchangeable.</w:t>
      </w:r>
    </w:p>
    <w:p>
      <w:pPr>
        <w:pStyle w:val="Heading2"/>
      </w:pPr>
      <w:r>
        <w:t>Policy acknowledgement</w:t>
      </w:r>
    </w:p>
    <w:p>
      <w:r>
        <w:t>We understand that discretionary waivers are considered case by case and are not guaranteed. We also understand that requests should be made at the point of manuscript submission and cannot be introduced later during review or after acceptance. If a waiver cannot be granted, we may need to withdraw before publication rather than incur an unaffordable fee.</w:t>
      </w:r>
    </w:p>
    <w:p>
      <w:r>
        <w:t>We are willing to provide any institutional or personal financial declaration reasonably required by the publisher.</w:t>
      </w:r>
    </w:p>
    <w:p>
      <w:r>
        <w:t>Yours sincerely,</w:t>
      </w:r>
    </w:p>
    <w:p>
      <w:r>
        <w:t>Peng Zhi</w:t>
      </w:r>
    </w:p>
    <w:p>
      <w:r>
        <w:t>On behalf of all authors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