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ABCE" w14:textId="26A5993F" w:rsidR="00D60A1A" w:rsidRPr="004C6731" w:rsidRDefault="00D60A1A" w:rsidP="004C6731">
      <w:pPr>
        <w:ind w:firstLineChars="0" w:firstLine="0"/>
        <w:jc w:val="center"/>
        <w:rPr>
          <w:rFonts w:hint="eastAsia"/>
          <w:b/>
          <w:bCs/>
          <w:sz w:val="72"/>
          <w:szCs w:val="96"/>
        </w:rPr>
      </w:pPr>
      <w:r w:rsidRPr="00D60A1A">
        <w:rPr>
          <w:rFonts w:hint="eastAsia"/>
          <w:b/>
          <w:bCs/>
          <w:sz w:val="72"/>
          <w:szCs w:val="96"/>
        </w:rPr>
        <w:t>美英政治制度比较分析</w:t>
      </w:r>
      <w:bookmarkStart w:id="0" w:name="_Toc199785841"/>
    </w:p>
    <w:p w14:paraId="091D77B0" w14:textId="51816738" w:rsidR="00CC0553" w:rsidRPr="00CC0553" w:rsidRDefault="00CC0553" w:rsidP="00CC0553">
      <w:pPr>
        <w:pStyle w:val="1"/>
        <w:rPr>
          <w:rFonts w:hint="eastAsia"/>
        </w:rPr>
      </w:pPr>
      <w:r w:rsidRPr="00CC0553">
        <w:rPr>
          <w:rFonts w:hint="eastAsia"/>
        </w:rPr>
        <w:t>一、引言：历史脉络中的</w:t>
      </w:r>
      <w:r w:rsidRPr="00D60A1A">
        <w:rPr>
          <w:rFonts w:hint="eastAsia"/>
          <w:color w:val="FF0000"/>
          <w:sz w:val="52"/>
          <w:szCs w:val="52"/>
        </w:rPr>
        <w:t>制度分野</w:t>
      </w:r>
      <w:bookmarkEnd w:id="0"/>
    </w:p>
    <w:p w14:paraId="4A8557A1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1787年费城制宪会议与1689年《权利法案》的颁布，分别奠定了美英政治制度的基石。美国通过独立战争摆脱殖民体系，构建了以</w:t>
      </w:r>
      <w:r w:rsidRPr="00D60A1A">
        <w:rPr>
          <w:rFonts w:hint="eastAsia"/>
          <w:b/>
          <w:bCs/>
          <w:i/>
          <w:iCs/>
          <w:color w:val="FF0000"/>
          <w:sz w:val="40"/>
          <w:szCs w:val="44"/>
        </w:rPr>
        <w:t>三权分立</w:t>
      </w:r>
      <w:r w:rsidRPr="00CC0553">
        <w:rPr>
          <w:rFonts w:hint="eastAsia"/>
        </w:rPr>
        <w:t>为核心的总统制；英国则在渐进式改革中形成</w:t>
      </w:r>
      <w:r w:rsidRPr="00D60A1A">
        <w:rPr>
          <w:rFonts w:hint="eastAsia"/>
          <w:b/>
          <w:bCs/>
          <w:i/>
          <w:iCs/>
          <w:color w:val="FF0000"/>
          <w:sz w:val="40"/>
          <w:szCs w:val="44"/>
        </w:rPr>
        <w:t>议会</w:t>
      </w:r>
      <w:r w:rsidRPr="00CC0553">
        <w:rPr>
          <w:rFonts w:hint="eastAsia"/>
        </w:rPr>
        <w:t>主权传统。二者虽共享民主基因，却在权力配置与制度弹性上展现出深刻差异，深刻影响着现代国家的治理效能。</w:t>
      </w:r>
    </w:p>
    <w:p w14:paraId="787F9A45" w14:textId="77777777" w:rsidR="00CC0553" w:rsidRPr="00CC0553" w:rsidRDefault="00CC0553" w:rsidP="00CC0553">
      <w:pPr>
        <w:pStyle w:val="1"/>
        <w:rPr>
          <w:rFonts w:hint="eastAsia"/>
        </w:rPr>
      </w:pPr>
      <w:bookmarkStart w:id="1" w:name="_Toc199785842"/>
      <w:r w:rsidRPr="00CC0553">
        <w:rPr>
          <w:rFonts w:hint="eastAsia"/>
        </w:rPr>
        <w:t>二、宪法框架：刚性与柔性的根本博弈</w:t>
      </w:r>
      <w:bookmarkEnd w:id="1"/>
    </w:p>
    <w:p w14:paraId="524E40A7" w14:textId="77777777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2" w:name="_Toc199785843"/>
      <w:r w:rsidRPr="00CC0553">
        <w:rPr>
          <w:rFonts w:hint="eastAsia"/>
        </w:rPr>
        <w:t>2.1 美国的</w:t>
      </w:r>
      <w:r w:rsidRPr="00D60A1A">
        <w:rPr>
          <w:rFonts w:hint="eastAsia"/>
          <w:color w:val="FF0000"/>
          <w:sz w:val="48"/>
          <w:szCs w:val="48"/>
        </w:rPr>
        <w:t>成文</w:t>
      </w:r>
      <w:r w:rsidRPr="00CC0553">
        <w:rPr>
          <w:rFonts w:hint="eastAsia"/>
        </w:rPr>
        <w:t>宪法体系</w:t>
      </w:r>
      <w:bookmarkEnd w:id="2"/>
    </w:p>
    <w:p w14:paraId="1F131C9D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《美国宪法》作为世界上首部成文宪法，其修正需经国会两院三分之二多数提议，并获四分之三州批准（如1992年第27修正案历时203年方获通过）。刚性特质保障了制度稳定，但也导致控枪等社会议题长期僵化。</w:t>
      </w:r>
    </w:p>
    <w:p w14:paraId="3B3D73A0" w14:textId="7740D83E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3" w:name="_Toc199785844"/>
      <w:r w:rsidRPr="00CC0553">
        <w:rPr>
          <w:rFonts w:hint="eastAsia"/>
        </w:rPr>
        <w:lastRenderedPageBreak/>
        <w:t>2.2 英国的</w:t>
      </w:r>
      <w:r w:rsidRPr="00D60A1A">
        <w:rPr>
          <w:rFonts w:hint="eastAsia"/>
          <w:color w:val="FF0000"/>
          <w:sz w:val="48"/>
          <w:szCs w:val="48"/>
        </w:rPr>
        <w:t>不成文</w:t>
      </w:r>
      <w:r w:rsidRPr="00CC0553">
        <w:rPr>
          <w:rFonts w:hint="eastAsia"/>
        </w:rPr>
        <w:t>宪法实践</w:t>
      </w:r>
      <w:bookmarkEnd w:id="3"/>
    </w:p>
    <w:p w14:paraId="3F898AA1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英国宪法由《大宪章》《议会法案》等文件与惯例共同构成，2019年最高法院裁定约翰逊首相暂停议会行为违宪，即体现司法对宪政惯例的诠释权。这种柔性特征使脱欧等重大变革可通过《2018欧盟退出法案》快速推进，但也引发“议会万能”的合法性争议。</w:t>
      </w:r>
    </w:p>
    <w:p w14:paraId="1A982399" w14:textId="77777777" w:rsidR="00CC0553" w:rsidRPr="00CC0553" w:rsidRDefault="00CC0553" w:rsidP="00CC0553">
      <w:pPr>
        <w:pStyle w:val="1"/>
        <w:rPr>
          <w:rFonts w:hint="eastAsia"/>
        </w:rPr>
      </w:pPr>
      <w:bookmarkStart w:id="4" w:name="_Toc199785845"/>
      <w:r w:rsidRPr="00CC0553">
        <w:rPr>
          <w:rFonts w:hint="eastAsia"/>
        </w:rPr>
        <w:t>三、三权分立：制衡逻辑与融合模式</w:t>
      </w:r>
      <w:bookmarkEnd w:id="4"/>
    </w:p>
    <w:p w14:paraId="599A67A4" w14:textId="77777777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5" w:name="_Toc199785846"/>
      <w:r w:rsidRPr="00CC0553">
        <w:rPr>
          <w:rFonts w:hint="eastAsia"/>
        </w:rPr>
        <w:t>3.1 行政分支的权力光谱</w:t>
      </w:r>
      <w:bookmarkEnd w:id="5"/>
    </w:p>
    <w:p w14:paraId="1386EE39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美国总统可直接任命内阁成员（如特朗普任内更换4位国安顾问），独立于国会行使否决权（奥巴马12次否决未遭推翻）；英国首相则需维持下议院多数席位，特蕾莎·梅因脱欧协议三度被否而辞职，凸显议会制下的权力依附性。</w:t>
      </w:r>
    </w:p>
    <w:p w14:paraId="3A6DCCE9" w14:textId="77777777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6" w:name="_Toc199785847"/>
      <w:r w:rsidRPr="00CC0553">
        <w:rPr>
          <w:rFonts w:hint="eastAsia"/>
        </w:rPr>
        <w:t>3.2 立法机制的效能差异</w:t>
      </w:r>
      <w:bookmarkEnd w:id="6"/>
    </w:p>
    <w:p w14:paraId="215AD612" w14:textId="176A9CB6" w:rsidR="00CC0553" w:rsidRPr="00CC0553" w:rsidRDefault="00D60A1A" w:rsidP="00CC0553">
      <w:pPr>
        <w:ind w:firstLine="800"/>
        <w:rPr>
          <w:rFonts w:hint="eastAsia"/>
        </w:rPr>
      </w:pPr>
      <w:r w:rsidRPr="00D60A1A">
        <w:rPr>
          <w:rFonts w:hint="eastAsia"/>
          <w:i/>
          <w:iCs/>
          <w:color w:val="FF0000"/>
          <w:sz w:val="40"/>
          <w:szCs w:val="44"/>
        </w:rPr>
        <w:t>英美均为两院制度</w:t>
      </w:r>
      <w:r>
        <w:rPr>
          <w:rFonts w:hint="eastAsia"/>
        </w:rPr>
        <w:t>，美国分为</w:t>
      </w:r>
      <w:r w:rsidRPr="00D60A1A">
        <w:rPr>
          <w:rFonts w:hint="eastAsia"/>
          <w:u w:val="single"/>
        </w:rPr>
        <w:t>参议院</w:t>
      </w:r>
      <w:r>
        <w:rPr>
          <w:rFonts w:hint="eastAsia"/>
        </w:rPr>
        <w:t>和</w:t>
      </w:r>
      <w:r w:rsidRPr="00D60A1A">
        <w:rPr>
          <w:rFonts w:hint="eastAsia"/>
          <w:u w:val="single"/>
        </w:rPr>
        <w:t>众议院</w:t>
      </w:r>
      <w:r>
        <w:rPr>
          <w:rFonts w:hint="eastAsia"/>
        </w:rPr>
        <w:t>，英国则分为</w:t>
      </w:r>
      <w:r w:rsidRPr="00D60A1A">
        <w:rPr>
          <w:rFonts w:hint="eastAsia"/>
          <w:u w:val="single"/>
        </w:rPr>
        <w:t>上议院</w:t>
      </w:r>
      <w:r>
        <w:rPr>
          <w:rFonts w:hint="eastAsia"/>
        </w:rPr>
        <w:t>和</w:t>
      </w:r>
      <w:r w:rsidRPr="00D60A1A">
        <w:rPr>
          <w:rFonts w:hint="eastAsia"/>
          <w:u w:val="single"/>
        </w:rPr>
        <w:t>下议院</w:t>
      </w:r>
      <w:r>
        <w:rPr>
          <w:rFonts w:hint="eastAsia"/>
        </w:rPr>
        <w:t>。</w:t>
      </w:r>
      <w:r w:rsidR="00CC0553" w:rsidRPr="00CC0553">
        <w:rPr>
          <w:rFonts w:hint="eastAsia"/>
        </w:rPr>
        <w:t>美国参议院“冗长辩论”规则曾让1964年《民权法案》辩论持续60天，体现制衡代价；英国下议院通过“吉尼斯法”可在1天内完成立法，但上议院仅能延迟非财政法案1年</w:t>
      </w:r>
      <w:r w:rsidR="00CC0553" w:rsidRPr="00CC0553">
        <w:rPr>
          <w:rFonts w:hint="eastAsia"/>
        </w:rPr>
        <w:lastRenderedPageBreak/>
        <w:t>（如2020年《内部市场法案》争议）。</w:t>
      </w:r>
    </w:p>
    <w:p w14:paraId="34D338B2" w14:textId="77777777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7" w:name="_Toc199785848"/>
      <w:r w:rsidRPr="00CC0553">
        <w:rPr>
          <w:rFonts w:hint="eastAsia"/>
        </w:rPr>
        <w:t>3.3 司法审查的边界之争</w:t>
      </w:r>
      <w:bookmarkEnd w:id="7"/>
    </w:p>
    <w:p w14:paraId="2632DB6F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美国联邦最高法院在“马伯里诉麦迪逊案”确立违宪审查权，2022年推翻“罗诉韦德案”引发宪法解释权争议；英国最高法院在2019年米勒案中虽裁定政府违法，但无法推翻《议会主权法案》，司法权始终受制于立法机构。</w:t>
      </w:r>
    </w:p>
    <w:p w14:paraId="0818F1D7" w14:textId="77777777" w:rsidR="00CC0553" w:rsidRPr="00CC0553" w:rsidRDefault="00CC0553" w:rsidP="00CC0553">
      <w:pPr>
        <w:pStyle w:val="1"/>
        <w:rPr>
          <w:rFonts w:hint="eastAsia"/>
        </w:rPr>
      </w:pPr>
      <w:bookmarkStart w:id="8" w:name="_Toc199785849"/>
      <w:r w:rsidRPr="00CC0553">
        <w:rPr>
          <w:rFonts w:hint="eastAsia"/>
        </w:rPr>
        <w:t>四、选举制度与政党生态</w:t>
      </w:r>
      <w:bookmarkEnd w:id="8"/>
    </w:p>
    <w:p w14:paraId="400287A4" w14:textId="77777777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9" w:name="_Toc199785850"/>
      <w:r w:rsidRPr="00CC0553">
        <w:rPr>
          <w:rFonts w:hint="eastAsia"/>
        </w:rPr>
        <w:t>4.1 选举人团制 vs 简单多数制</w:t>
      </w:r>
      <w:bookmarkEnd w:id="9"/>
    </w:p>
    <w:p w14:paraId="3C1A83CF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2016年特朗普以304选举人票胜选，却比希拉里少280万普选票，暴露选举人团制的代表性悖论；英国2019年大选中保守党以43.6%得票率获56%议席，FPTP制度加速两党格局固化。</w:t>
      </w:r>
    </w:p>
    <w:p w14:paraId="603F5EE2" w14:textId="77777777" w:rsidR="00CC0553" w:rsidRPr="00CC0553" w:rsidRDefault="00CC0553" w:rsidP="00CC0553">
      <w:pPr>
        <w:pStyle w:val="2"/>
        <w:ind w:firstLine="360"/>
        <w:rPr>
          <w:rFonts w:hint="eastAsia"/>
        </w:rPr>
      </w:pPr>
      <w:bookmarkStart w:id="10" w:name="_Toc199785851"/>
      <w:r w:rsidRPr="00CC0553">
        <w:rPr>
          <w:rFonts w:hint="eastAsia"/>
        </w:rPr>
        <w:t>4.2 政党纪律的文化分野</w:t>
      </w:r>
      <w:bookmarkEnd w:id="10"/>
    </w:p>
    <w:p w14:paraId="7A27F743" w14:textId="77777777" w:rsidR="00CC0553" w:rsidRPr="00CC0553" w:rsidRDefault="00CC0553" w:rsidP="00CC0553">
      <w:pPr>
        <w:ind w:firstLine="720"/>
        <w:rPr>
          <w:rFonts w:hint="eastAsia"/>
        </w:rPr>
      </w:pPr>
      <w:r w:rsidRPr="00CC0553">
        <w:rPr>
          <w:rFonts w:hint="eastAsia"/>
        </w:rPr>
        <w:t>美国民主党允许曼钦参议员公开反对拜登基建计划仍保留党籍；英国工党领袖斯塔默则对47名反对党纲议员暂停党鞭，反映松散个人主义与集体责任制的根本冲突。</w:t>
      </w:r>
    </w:p>
    <w:p w14:paraId="6A45CC82" w14:textId="461F1D24" w:rsidR="00CC0553" w:rsidRPr="00CC0553" w:rsidRDefault="00CC0553" w:rsidP="00CC0553">
      <w:pPr>
        <w:pStyle w:val="1"/>
        <w:rPr>
          <w:rFonts w:hint="eastAsia"/>
        </w:rPr>
      </w:pPr>
      <w:bookmarkStart w:id="11" w:name="_Toc199785852"/>
      <w:r w:rsidRPr="00CC0553">
        <w:rPr>
          <w:rFonts w:hint="eastAsia"/>
        </w:rPr>
        <w:lastRenderedPageBreak/>
        <w:t>五、结论：制度弹性与治理成本辩证关系</w:t>
      </w:r>
      <w:bookmarkEnd w:id="11"/>
    </w:p>
    <w:p w14:paraId="0462A0CE" w14:textId="77777777" w:rsidR="00D60A1A" w:rsidRDefault="00D60A1A" w:rsidP="00D60A1A">
      <w:pPr>
        <w:ind w:firstLine="720"/>
        <w:rPr>
          <w:rFonts w:hint="eastAsia"/>
        </w:rPr>
      </w:pPr>
      <w:r>
        <w:rPr>
          <w:rFonts w:hint="eastAsia"/>
        </w:rPr>
        <w:t>美国以宪法刚性著称的政治制度在新冠疫情期间暴露出结构性缺陷：联邦政府与各州之间模糊的权力边界导致应急响应机制严重失灵。2020年3月，当疫情如海啸般席卷纽约州时，联邦紧急事务管理局（FEMA）与州政府陷入灾难性的权责拉锯战——50个州被迫在公开市场上竞拍医疗物资，加州以$25,000/台的天价抢购呼吸机，而伊利诺伊州州长普利兹克愤怒指责"这简直是各州自相残杀的现代版角斗场"。这种联邦制下的协调真空不仅造成130亿美元公共资金的浪费，更直接导致底特律市因设备短缺出现单日400%的死亡率飙升。</w:t>
      </w:r>
    </w:p>
    <w:p w14:paraId="56BFB036" w14:textId="77777777" w:rsidR="00D60A1A" w:rsidRDefault="00D60A1A" w:rsidP="00D60A1A">
      <w:pPr>
        <w:ind w:firstLine="720"/>
        <w:rPr>
          <w:rFonts w:hint="eastAsia"/>
        </w:rPr>
      </w:pPr>
    </w:p>
    <w:p w14:paraId="12D7FC5C" w14:textId="77777777" w:rsidR="00D60A1A" w:rsidRDefault="00D60A1A" w:rsidP="00D60A1A">
      <w:pPr>
        <w:ind w:firstLine="720"/>
        <w:rPr>
          <w:rFonts w:hint="eastAsia"/>
        </w:rPr>
      </w:pPr>
      <w:r>
        <w:rPr>
          <w:rFonts w:hint="eastAsia"/>
        </w:rPr>
        <w:t>与之形成尖锐对比的是，英国凭借其不成文宪法的柔性特质，仅用三天便闪电通过《2020冠状病毒法案》。该法案赋予政府前所未有的紧急权力：包括强制隔离、关闭边境、征用私有医院等120项条款。然而这种高效立法背后潜藏着公民自由的系统性让渡——警方依据该法案开出了逾12万张罚单，曼彻斯特大学生因组织线上抗议集会遭逮捕，更引发"新冠监视国家"的舆论风暴。大律师协会主席卡罗琳·卢卡</w:t>
      </w:r>
      <w:r>
        <w:rPr>
          <w:rFonts w:hint="eastAsia"/>
        </w:rPr>
        <w:lastRenderedPageBreak/>
        <w:t>斯警告："我们正用民主的基石换取短期安全"。</w:t>
      </w:r>
    </w:p>
    <w:p w14:paraId="02F908C0" w14:textId="77777777" w:rsidR="00D60A1A" w:rsidRDefault="00D60A1A" w:rsidP="00D60A1A">
      <w:pPr>
        <w:ind w:firstLine="720"/>
        <w:rPr>
          <w:rFonts w:hint="eastAsia"/>
        </w:rPr>
      </w:pPr>
    </w:p>
    <w:p w14:paraId="1C4B7AC0" w14:textId="26D1717D" w:rsidR="00C66CA9" w:rsidRPr="00CC0553" w:rsidRDefault="00D60A1A" w:rsidP="00D60A1A">
      <w:pPr>
        <w:ind w:firstLine="720"/>
        <w:rPr>
          <w:rFonts w:hint="eastAsia"/>
        </w:rPr>
      </w:pPr>
      <w:r>
        <w:rPr>
          <w:rFonts w:hint="eastAsia"/>
        </w:rPr>
        <w:t>这两种截然不同的危机应对模式，深刻揭示了政治制度设计的永恒悖论：</w:t>
      </w:r>
      <w:r w:rsidRPr="00D60A1A">
        <w:rPr>
          <w:rFonts w:hint="eastAsia"/>
          <w:u w:val="single"/>
        </w:rPr>
        <w:t>刚性制度</w:t>
      </w:r>
      <w:r>
        <w:rPr>
          <w:rFonts w:hint="eastAsia"/>
        </w:rPr>
        <w:t>如美国，在权力制衡中保障了长期稳定，却因决策链条冗长付出生命代价；</w:t>
      </w:r>
      <w:r w:rsidRPr="00D60A1A">
        <w:rPr>
          <w:rFonts w:hint="eastAsia"/>
          <w:u w:val="single"/>
        </w:rPr>
        <w:t>柔性制度</w:t>
      </w:r>
      <w:r>
        <w:rPr>
          <w:rFonts w:hint="eastAsia"/>
        </w:rPr>
        <w:t>如英国，以高效响应赢得时间窗口，却可能侵蚀自由根基。其本质差异恰如政治学家福山所言："任何制度都必须在秩序钟摆的两端寻找动态平衡点——过于僵化则危机中崩裂，过分灵活则常态下失序"。这场全球性疫情最终证明，真正的治理艺术不在于制度形式的优劣，而在于能否在危机时刻激活制度内核的适应性基因。</w:t>
      </w:r>
    </w:p>
    <w:sectPr w:rsidR="00C66CA9" w:rsidRPr="00CC0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53"/>
    <w:rsid w:val="00154B96"/>
    <w:rsid w:val="002C2A50"/>
    <w:rsid w:val="004B582C"/>
    <w:rsid w:val="004C6731"/>
    <w:rsid w:val="00C66CA9"/>
    <w:rsid w:val="00CC0553"/>
    <w:rsid w:val="00CE5BB0"/>
    <w:rsid w:val="00D60A1A"/>
    <w:rsid w:val="00E357B5"/>
    <w:rsid w:val="00E35E79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2BDB"/>
  <w15:chartTrackingRefBased/>
  <w15:docId w15:val="{585FAF00-686E-4EC9-B085-FCE3106D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553"/>
    <w:pPr>
      <w:widowControl w:val="0"/>
      <w:ind w:firstLineChars="200" w:firstLine="200"/>
      <w:jc w:val="both"/>
    </w:pPr>
    <w:rPr>
      <w:rFonts w:ascii="华文楷体" w:eastAsia="华文楷体" w:hAnsi="华文楷体"/>
      <w:sz w:val="36"/>
      <w:szCs w:val="40"/>
    </w:rPr>
  </w:style>
  <w:style w:type="paragraph" w:styleId="1">
    <w:name w:val="heading 1"/>
    <w:basedOn w:val="a"/>
    <w:next w:val="a"/>
    <w:link w:val="10"/>
    <w:uiPriority w:val="9"/>
    <w:qFormat/>
    <w:rsid w:val="00CC0553"/>
    <w:pPr>
      <w:keepNext/>
      <w:keepLines/>
      <w:spacing w:before="480" w:after="360" w:line="480" w:lineRule="auto"/>
      <w:ind w:firstLineChars="0" w:firstLine="0"/>
      <w:outlineLvl w:val="0"/>
    </w:pPr>
    <w:rPr>
      <w:rFonts w:ascii="华文新魏" w:eastAsia="华文新魏" w:hAnsiTheme="majorHAnsi" w:cstheme="majorBidi"/>
      <w:b/>
      <w:color w:val="0F4761" w:themeColor="accent1" w:themeShade="BF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57B5"/>
    <w:pPr>
      <w:keepNext/>
      <w:keepLines/>
      <w:spacing w:before="160" w:after="80"/>
      <w:ind w:firstLineChars="100" w:firstLine="100"/>
      <w:outlineLvl w:val="1"/>
    </w:pPr>
    <w:rPr>
      <w:rFonts w:ascii="华文新魏" w:eastAsia="华文新魏" w:hAnsiTheme="majorHAnsi" w:cstheme="majorBidi"/>
      <w:color w:val="0F4761" w:themeColor="accent1" w:themeShade="BF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5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5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5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5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5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5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553"/>
    <w:rPr>
      <w:rFonts w:ascii="华文新魏" w:eastAsia="华文新魏" w:hAnsiTheme="majorHAnsi" w:cstheme="majorBidi"/>
      <w:b/>
      <w:color w:val="0F4761" w:themeColor="accent1" w:themeShade="BF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357B5"/>
    <w:rPr>
      <w:rFonts w:ascii="华文新魏" w:eastAsia="华文新魏" w:hAnsiTheme="majorHAnsi" w:cstheme="majorBidi"/>
      <w:color w:val="0F4761" w:themeColor="accent1" w:themeShade="BF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C0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5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5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05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5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55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5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5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553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D60A1A"/>
    <w:pPr>
      <w:widowControl/>
      <w:spacing w:before="240" w:after="0" w:line="259" w:lineRule="auto"/>
      <w:jc w:val="left"/>
      <w:outlineLvl w:val="9"/>
    </w:pPr>
    <w:rPr>
      <w:rFonts w:asciiTheme="majorHAnsi" w:eastAsiaTheme="majorEastAsia"/>
      <w:b w:val="0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60A1A"/>
  </w:style>
  <w:style w:type="paragraph" w:styleId="TOC2">
    <w:name w:val="toc 2"/>
    <w:basedOn w:val="a"/>
    <w:next w:val="a"/>
    <w:autoRedefine/>
    <w:uiPriority w:val="39"/>
    <w:unhideWhenUsed/>
    <w:rsid w:val="00D60A1A"/>
    <w:pPr>
      <w:ind w:leftChars="200" w:left="420"/>
    </w:pPr>
  </w:style>
  <w:style w:type="character" w:styleId="ae">
    <w:name w:val="Hyperlink"/>
    <w:basedOn w:val="a0"/>
    <w:uiPriority w:val="99"/>
    <w:unhideWhenUsed/>
    <w:rsid w:val="00D60A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2F2EE-18F8-47D8-B58C-B17E44A40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cp:lastPrinted>2025-06-02T11:50:00Z</cp:lastPrinted>
  <dcterms:created xsi:type="dcterms:W3CDTF">2025-05-16T11:38:00Z</dcterms:created>
  <dcterms:modified xsi:type="dcterms:W3CDTF">2025-06-02T11:50:00Z</dcterms:modified>
</cp:coreProperties>
</file>