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E7FBA" w14:textId="77777777" w:rsidR="00FF71BF" w:rsidRPr="00FF71BF" w:rsidRDefault="00FF71BF" w:rsidP="00FF71BF">
      <w:pPr>
        <w:spacing w:line="360" w:lineRule="auto"/>
        <w:rPr>
          <w:rFonts w:ascii="黑体" w:eastAsia="黑体" w:hAnsi="黑体" w:hint="eastAsia"/>
          <w:b/>
          <w:bCs/>
          <w:sz w:val="28"/>
          <w:szCs w:val="28"/>
        </w:rPr>
      </w:pPr>
      <w:r w:rsidRPr="00FF71BF">
        <w:rPr>
          <w:rFonts w:ascii="黑体" w:eastAsia="黑体" w:hAnsi="黑体"/>
          <w:b/>
          <w:bCs/>
          <w:sz w:val="28"/>
          <w:szCs w:val="28"/>
        </w:rPr>
        <w:t>题目 1：分析港口与城市物理空间距离越来越远的原因。</w:t>
      </w:r>
    </w:p>
    <w:p w14:paraId="587B0AC7" w14:textId="77777777" w:rsidR="00FF71BF" w:rsidRPr="00FF71BF" w:rsidRDefault="00FF71BF" w:rsidP="00FF71BF">
      <w:pPr>
        <w:spacing w:line="360" w:lineRule="auto"/>
        <w:ind w:firstLineChars="200" w:firstLine="480"/>
        <w:rPr>
          <w:rFonts w:ascii="宋体" w:eastAsia="宋体" w:hAnsi="宋体" w:hint="eastAsia"/>
          <w:sz w:val="24"/>
          <w:szCs w:val="24"/>
        </w:rPr>
      </w:pPr>
      <w:r w:rsidRPr="00FF71BF">
        <w:rPr>
          <w:rFonts w:ascii="宋体" w:eastAsia="宋体" w:hAnsi="宋体"/>
          <w:sz w:val="24"/>
          <w:szCs w:val="24"/>
        </w:rPr>
        <w:t>历史上港城一体是由于当时船舶吨位小、货物以散杂货为主，且严重依赖城市的人力与商业配套。然而，近几十年港口逐渐迁离城市中心（如上海港从黄浦江迁至洋山），其根本原因在于</w:t>
      </w:r>
      <w:r w:rsidRPr="00FF71BF">
        <w:rPr>
          <w:rFonts w:ascii="宋体" w:eastAsia="宋体" w:hAnsi="宋体"/>
          <w:b/>
          <w:bCs/>
          <w:sz w:val="24"/>
          <w:szCs w:val="24"/>
        </w:rPr>
        <w:t>技术变革、经济级差地租与城市功能的冲突</w:t>
      </w:r>
      <w:r w:rsidRPr="00FF71BF">
        <w:rPr>
          <w:rFonts w:ascii="宋体" w:eastAsia="宋体" w:hAnsi="宋体"/>
          <w:sz w:val="24"/>
          <w:szCs w:val="24"/>
        </w:rPr>
        <w:t>。</w:t>
      </w:r>
    </w:p>
    <w:p w14:paraId="035947C4" w14:textId="77777777" w:rsidR="00FF71BF" w:rsidRPr="00FF71BF" w:rsidRDefault="00FF71BF" w:rsidP="00FF71BF">
      <w:pPr>
        <w:spacing w:line="360" w:lineRule="auto"/>
        <w:ind w:firstLineChars="200" w:firstLine="480"/>
        <w:rPr>
          <w:rFonts w:ascii="宋体" w:eastAsia="宋体" w:hAnsi="宋体" w:hint="eastAsia"/>
          <w:sz w:val="24"/>
          <w:szCs w:val="24"/>
        </w:rPr>
      </w:pPr>
      <w:r w:rsidRPr="00FF71BF">
        <w:rPr>
          <w:rFonts w:ascii="宋体" w:eastAsia="宋体" w:hAnsi="宋体"/>
          <w:sz w:val="24"/>
          <w:szCs w:val="24"/>
        </w:rPr>
        <w:t>首先，</w:t>
      </w:r>
      <w:r w:rsidRPr="00FF71BF">
        <w:rPr>
          <w:rFonts w:ascii="宋体" w:eastAsia="宋体" w:hAnsi="宋体"/>
          <w:b/>
          <w:bCs/>
          <w:sz w:val="24"/>
          <w:szCs w:val="24"/>
        </w:rPr>
        <w:t>船舶大型化与航道深度的矛盾</w:t>
      </w:r>
      <w:r w:rsidRPr="00FF71BF">
        <w:rPr>
          <w:rFonts w:ascii="宋体" w:eastAsia="宋体" w:hAnsi="宋体"/>
          <w:sz w:val="24"/>
          <w:szCs w:val="24"/>
        </w:rPr>
        <w:t>是物理分离的硬性推力。随着全球贸易的发展，船舶向巨型化发展（如2.4万TEU集装箱船），城市内部河道或近岸水深已无法满足吃水需求，迫使港口向水深条件更好的深海离岸区域迁移。</w:t>
      </w:r>
    </w:p>
    <w:p w14:paraId="1322EB05" w14:textId="65D526DF" w:rsidR="00FF71BF" w:rsidRPr="00FF71BF" w:rsidRDefault="00FF71BF" w:rsidP="00FF71BF">
      <w:pPr>
        <w:spacing w:line="360" w:lineRule="auto"/>
        <w:ind w:firstLineChars="200" w:firstLine="480"/>
        <w:rPr>
          <w:rFonts w:ascii="宋体" w:eastAsia="宋体" w:hAnsi="宋体" w:hint="eastAsia"/>
          <w:sz w:val="24"/>
          <w:szCs w:val="24"/>
        </w:rPr>
      </w:pPr>
      <w:r w:rsidRPr="00FF71BF">
        <w:rPr>
          <w:rFonts w:ascii="宋体" w:eastAsia="宋体" w:hAnsi="宋体"/>
          <w:sz w:val="24"/>
          <w:szCs w:val="24"/>
        </w:rPr>
        <w:t>其次，</w:t>
      </w:r>
      <w:r w:rsidRPr="00FF71BF">
        <w:rPr>
          <w:rFonts w:ascii="宋体" w:eastAsia="宋体" w:hAnsi="宋体"/>
          <w:b/>
          <w:bCs/>
          <w:sz w:val="24"/>
          <w:szCs w:val="24"/>
        </w:rPr>
        <w:t>集装箱化与土地资源的矛盾</w:t>
      </w:r>
      <w:r w:rsidRPr="00FF71BF">
        <w:rPr>
          <w:rFonts w:ascii="宋体" w:eastAsia="宋体" w:hAnsi="宋体"/>
          <w:sz w:val="24"/>
          <w:szCs w:val="24"/>
        </w:rPr>
        <w:t>是关键因素。集装箱运输要求港口具备广阔的陆域腹地用于堆场和拆装箱作业。城市中心寸土寸金，无法提供如此大面积的廉价土地，促使港口寻找边缘地带。</w:t>
      </w:r>
    </w:p>
    <w:p w14:paraId="3D9ED6DD" w14:textId="5DBFE89E" w:rsidR="00FF71BF" w:rsidRPr="00FF71BF" w:rsidRDefault="00FF71BF" w:rsidP="00FF71BF">
      <w:pPr>
        <w:spacing w:line="360" w:lineRule="auto"/>
        <w:ind w:firstLineChars="200" w:firstLine="480"/>
        <w:rPr>
          <w:rFonts w:ascii="宋体" w:eastAsia="宋体" w:hAnsi="宋体" w:hint="eastAsia"/>
          <w:sz w:val="24"/>
          <w:szCs w:val="24"/>
        </w:rPr>
      </w:pPr>
      <w:r w:rsidRPr="00FF71BF">
        <w:rPr>
          <w:rFonts w:ascii="宋体" w:eastAsia="宋体" w:hAnsi="宋体"/>
          <w:sz w:val="24"/>
          <w:szCs w:val="24"/>
        </w:rPr>
        <w:t>再者，</w:t>
      </w:r>
      <w:r w:rsidRPr="00FF71BF">
        <w:rPr>
          <w:rFonts w:ascii="宋体" w:eastAsia="宋体" w:hAnsi="宋体"/>
          <w:b/>
          <w:bCs/>
          <w:sz w:val="24"/>
          <w:szCs w:val="24"/>
        </w:rPr>
        <w:t>级差地租与城市产业升级</w:t>
      </w:r>
      <w:r w:rsidRPr="00FF71BF">
        <w:rPr>
          <w:rFonts w:ascii="宋体" w:eastAsia="宋体" w:hAnsi="宋体"/>
          <w:sz w:val="24"/>
          <w:szCs w:val="24"/>
        </w:rPr>
        <w:t>产生了挤出效应。依据</w:t>
      </w:r>
      <w:r w:rsidR="00792FCF">
        <w:rPr>
          <w:rFonts w:ascii="宋体" w:eastAsia="宋体" w:hAnsi="宋体" w:hint="eastAsia"/>
          <w:sz w:val="24"/>
          <w:szCs w:val="24"/>
        </w:rPr>
        <w:t>老师课上所讲过的理论</w:t>
      </w:r>
      <w:r w:rsidRPr="00FF71BF">
        <w:rPr>
          <w:rFonts w:ascii="宋体" w:eastAsia="宋体" w:hAnsi="宋体"/>
          <w:sz w:val="24"/>
          <w:szCs w:val="24"/>
        </w:rPr>
        <w:t>，城市中心倾向于发展高附加值的金融、商业服务业。港口作业占地大但单位面积产值相对较低，且伴随噪音、拥堵和污染，与现代宜居城市功能不兼容，因此被高地价和城市规划“挤出”核心区。</w:t>
      </w:r>
    </w:p>
    <w:p w14:paraId="11A5B108" w14:textId="77777777" w:rsidR="00FF71BF" w:rsidRPr="00FF71BF" w:rsidRDefault="00FF71BF" w:rsidP="00FF71BF">
      <w:pPr>
        <w:spacing w:line="360" w:lineRule="auto"/>
        <w:ind w:firstLineChars="200" w:firstLine="480"/>
        <w:rPr>
          <w:rFonts w:ascii="宋体" w:eastAsia="宋体" w:hAnsi="宋体" w:hint="eastAsia"/>
          <w:sz w:val="24"/>
          <w:szCs w:val="24"/>
        </w:rPr>
      </w:pPr>
      <w:r w:rsidRPr="00FF71BF">
        <w:rPr>
          <w:rFonts w:ascii="宋体" w:eastAsia="宋体" w:hAnsi="宋体"/>
          <w:sz w:val="24"/>
          <w:szCs w:val="24"/>
        </w:rPr>
        <w:t>综上所述，港口远离城市是港口追求深水岸线与廉价土地，以及城市追求高品质空间环境的双向选择结果，符合港口代际演化的客观规律。</w:t>
      </w:r>
    </w:p>
    <w:p w14:paraId="42958627" w14:textId="3D412B34" w:rsidR="00FF71BF" w:rsidRDefault="00FF71BF">
      <w:pPr>
        <w:widowControl/>
        <w:jc w:val="left"/>
        <w:rPr>
          <w:rFonts w:hint="eastAsia"/>
        </w:rPr>
      </w:pPr>
      <w:r>
        <w:rPr>
          <w:rFonts w:hint="eastAsia"/>
        </w:rPr>
        <w:br w:type="page"/>
      </w:r>
    </w:p>
    <w:p w14:paraId="673B47A5" w14:textId="549800D1" w:rsidR="00FF71BF" w:rsidRPr="00FF71BF" w:rsidRDefault="00FF71BF" w:rsidP="00FF71BF">
      <w:pPr>
        <w:spacing w:line="360" w:lineRule="auto"/>
        <w:rPr>
          <w:rFonts w:ascii="黑体" w:eastAsia="黑体" w:hAnsi="黑体" w:hint="eastAsia"/>
          <w:b/>
          <w:bCs/>
          <w:sz w:val="28"/>
          <w:szCs w:val="28"/>
        </w:rPr>
      </w:pPr>
      <w:r w:rsidRPr="00FF71BF">
        <w:rPr>
          <w:rFonts w:ascii="黑体" w:eastAsia="黑体" w:hAnsi="黑体"/>
          <w:b/>
          <w:bCs/>
          <w:sz w:val="28"/>
          <w:szCs w:val="28"/>
        </w:rPr>
        <w:lastRenderedPageBreak/>
        <w:t>题目 4：请从路径依赖的正效应和负效应两个视角说明为什么新加坡港周边会出现诸如巴生港和丹戎帕拉帕斯港这类集装箱吞吐量超过千万</w:t>
      </w:r>
      <w:r w:rsidRPr="00FF71BF">
        <w:rPr>
          <w:rFonts w:ascii="Times New Roman" w:eastAsia="黑体" w:hAnsi="Times New Roman" w:cs="Times New Roman"/>
          <w:b/>
          <w:bCs/>
          <w:sz w:val="28"/>
          <w:szCs w:val="28"/>
        </w:rPr>
        <w:t>TEU</w:t>
      </w:r>
      <w:r w:rsidRPr="00FF71BF">
        <w:rPr>
          <w:rFonts w:ascii="黑体" w:eastAsia="黑体" w:hAnsi="黑体"/>
          <w:b/>
          <w:bCs/>
          <w:sz w:val="28"/>
          <w:szCs w:val="28"/>
        </w:rPr>
        <w:t>的大港？</w:t>
      </w:r>
    </w:p>
    <w:p w14:paraId="56034B8B" w14:textId="3F0BB0A4" w:rsidR="00FF71BF" w:rsidRPr="00FF71BF" w:rsidRDefault="00FF71BF" w:rsidP="00FF71BF">
      <w:pPr>
        <w:spacing w:line="360" w:lineRule="auto"/>
        <w:ind w:firstLineChars="200" w:firstLine="480"/>
        <w:rPr>
          <w:rFonts w:ascii="宋体" w:eastAsia="宋体" w:hAnsi="宋体" w:hint="eastAsia"/>
          <w:sz w:val="24"/>
          <w:szCs w:val="24"/>
        </w:rPr>
      </w:pPr>
      <w:r w:rsidRPr="00FF71BF">
        <w:rPr>
          <w:rFonts w:ascii="宋体" w:eastAsia="宋体" w:hAnsi="宋体"/>
          <w:sz w:val="24"/>
          <w:szCs w:val="24"/>
        </w:rPr>
        <w:t>新加坡港的成功与其周边港口的崛起，是典型的路径依赖双重效应的体现。</w:t>
      </w:r>
    </w:p>
    <w:p w14:paraId="5775EDDC" w14:textId="063B6167" w:rsidR="00FF71BF" w:rsidRPr="00FF71BF" w:rsidRDefault="00FF71BF" w:rsidP="00FF71BF">
      <w:pPr>
        <w:spacing w:line="360" w:lineRule="auto"/>
        <w:ind w:firstLineChars="200" w:firstLine="480"/>
        <w:rPr>
          <w:rFonts w:ascii="宋体" w:eastAsia="宋体" w:hAnsi="宋体" w:hint="eastAsia"/>
          <w:sz w:val="24"/>
          <w:szCs w:val="24"/>
        </w:rPr>
      </w:pPr>
      <w:r w:rsidRPr="00FF71BF">
        <w:rPr>
          <w:rFonts w:ascii="宋体" w:eastAsia="宋体" w:hAnsi="宋体"/>
          <w:sz w:val="24"/>
          <w:szCs w:val="24"/>
        </w:rPr>
        <w:t>从正效应（报酬递增）视角看，新加坡港凭借先发优势，建立了极高的网络密度和完善的航运服务生态。这种“锁定”效应使得船公司在初期难以承担更换港口的转换成本。新加坡港越强，挂靠的航线越多，规模经济越显著，从而长期垄断了马六甲海峡的中转业务。</w:t>
      </w:r>
    </w:p>
    <w:p w14:paraId="6232ED02" w14:textId="16F9748D" w:rsidR="00FF71BF" w:rsidRPr="00FF71BF" w:rsidRDefault="00FF71BF" w:rsidP="00FF71BF">
      <w:pPr>
        <w:spacing w:line="360" w:lineRule="auto"/>
        <w:ind w:firstLineChars="200" w:firstLine="480"/>
        <w:rPr>
          <w:rFonts w:ascii="宋体" w:eastAsia="宋体" w:hAnsi="宋体" w:hint="eastAsia"/>
          <w:sz w:val="24"/>
          <w:szCs w:val="24"/>
        </w:rPr>
      </w:pPr>
      <w:r w:rsidRPr="00FF71BF">
        <w:rPr>
          <w:rFonts w:ascii="宋体" w:eastAsia="宋体" w:hAnsi="宋体"/>
          <w:sz w:val="24"/>
          <w:szCs w:val="24"/>
        </w:rPr>
        <w:t>然而，从负效应（锁定与僵化）视角看，过度的路径依赖导致了拥堵和高成本。随着新加坡港吞吐量逼近极限，其正效应逐渐遭遇瓶颈：码头拥堵加剧、作业费用高昂、以及对大客户（如马士基）个性化需求的响应迟缓。这种“技术与制度的锁定”让新加坡港在面对巨型航运联盟的定制化需求时显得缺乏弹性。</w:t>
      </w:r>
    </w:p>
    <w:p w14:paraId="56BB48A1" w14:textId="7FB563A3" w:rsidR="00FF71BF" w:rsidRPr="00FF71BF" w:rsidRDefault="00FF71BF" w:rsidP="00FF71BF">
      <w:pPr>
        <w:spacing w:line="360" w:lineRule="auto"/>
        <w:ind w:firstLineChars="200" w:firstLine="480"/>
        <w:rPr>
          <w:rFonts w:ascii="宋体" w:eastAsia="宋体" w:hAnsi="宋体" w:hint="eastAsia"/>
          <w:sz w:val="24"/>
          <w:szCs w:val="24"/>
        </w:rPr>
      </w:pPr>
      <w:r w:rsidRPr="00FF71BF">
        <w:rPr>
          <w:rFonts w:ascii="宋体" w:eastAsia="宋体" w:hAnsi="宋体"/>
          <w:sz w:val="24"/>
          <w:szCs w:val="24"/>
        </w:rPr>
        <w:t>这种负效应为周边港口提供了“路径创造”的机会。巴生港和丹戎帕拉帕斯港利用后发优势，打破了原有的路径锁定。它们通过提供比新加坡低30%以上的费率、更充足的土地资源，以及为大客户（如</w:t>
      </w:r>
      <w:r w:rsidRPr="00B62DD2">
        <w:rPr>
          <w:rFonts w:ascii="Times New Roman" w:eastAsia="宋体" w:hAnsi="Times New Roman"/>
          <w:sz w:val="24"/>
          <w:szCs w:val="24"/>
        </w:rPr>
        <w:t>PTP</w:t>
      </w:r>
      <w:r w:rsidRPr="00FF71BF">
        <w:rPr>
          <w:rFonts w:ascii="宋体" w:eastAsia="宋体" w:hAnsi="宋体"/>
          <w:sz w:val="24"/>
          <w:szCs w:val="24"/>
        </w:rPr>
        <w:t>为马士基提供专用码头）提供股权合作等灵活制度，成功承接了从新加坡“溢出”的运量。</w:t>
      </w:r>
    </w:p>
    <w:p w14:paraId="69DE3FB2" w14:textId="77777777" w:rsidR="00FF71BF" w:rsidRPr="00FF71BF" w:rsidRDefault="00FF71BF" w:rsidP="00FF71BF">
      <w:pPr>
        <w:spacing w:line="360" w:lineRule="auto"/>
        <w:ind w:firstLineChars="200" w:firstLine="480"/>
        <w:rPr>
          <w:rFonts w:ascii="宋体" w:eastAsia="宋体" w:hAnsi="宋体" w:hint="eastAsia"/>
          <w:sz w:val="24"/>
          <w:szCs w:val="24"/>
        </w:rPr>
      </w:pPr>
      <w:r w:rsidRPr="00FF71BF">
        <w:rPr>
          <w:rFonts w:ascii="宋体" w:eastAsia="宋体" w:hAnsi="宋体"/>
          <w:sz w:val="24"/>
          <w:szCs w:val="24"/>
        </w:rPr>
        <w:t>因此，周边大港的崛起正是新加坡港路径依赖负效应显现，与竞争对手利用成本和服务优势通过“解锁”机制重塑竞争格局的结果。</w:t>
      </w:r>
    </w:p>
    <w:p w14:paraId="08233CD7" w14:textId="77777777" w:rsidR="00C66CA9" w:rsidRPr="00FF71BF" w:rsidRDefault="00C66CA9">
      <w:pPr>
        <w:rPr>
          <w:rFonts w:hint="eastAsia"/>
        </w:rPr>
      </w:pPr>
    </w:p>
    <w:sectPr w:rsidR="00C66CA9" w:rsidRPr="00FF71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A9A9E" w14:textId="77777777" w:rsidR="00083999" w:rsidRDefault="00083999" w:rsidP="00792FCF">
      <w:pPr>
        <w:rPr>
          <w:rFonts w:hint="eastAsia"/>
        </w:rPr>
      </w:pPr>
      <w:r>
        <w:separator/>
      </w:r>
    </w:p>
  </w:endnote>
  <w:endnote w:type="continuationSeparator" w:id="0">
    <w:p w14:paraId="2DE243FB" w14:textId="77777777" w:rsidR="00083999" w:rsidRDefault="00083999" w:rsidP="00792F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36DB8" w14:textId="77777777" w:rsidR="00083999" w:rsidRDefault="00083999" w:rsidP="00792FCF">
      <w:pPr>
        <w:rPr>
          <w:rFonts w:hint="eastAsia"/>
        </w:rPr>
      </w:pPr>
      <w:r>
        <w:separator/>
      </w:r>
    </w:p>
  </w:footnote>
  <w:footnote w:type="continuationSeparator" w:id="0">
    <w:p w14:paraId="124696E0" w14:textId="77777777" w:rsidR="00083999" w:rsidRDefault="00083999" w:rsidP="00792F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1BF"/>
    <w:rsid w:val="00083999"/>
    <w:rsid w:val="002C2A50"/>
    <w:rsid w:val="004B582C"/>
    <w:rsid w:val="007615D1"/>
    <w:rsid w:val="00792FCF"/>
    <w:rsid w:val="008D7723"/>
    <w:rsid w:val="00B62DD2"/>
    <w:rsid w:val="00C66CA9"/>
    <w:rsid w:val="00CE5BB0"/>
    <w:rsid w:val="00D34611"/>
    <w:rsid w:val="00D47C63"/>
    <w:rsid w:val="00FC11D9"/>
    <w:rsid w:val="00FF7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9B92B"/>
  <w15:chartTrackingRefBased/>
  <w15:docId w15:val="{55944330-CF35-4E2C-9CA7-FF363A1D3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71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71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71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71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F71B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F71B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F71B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71B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F71B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47C63"/>
    <w:pPr>
      <w:jc w:val="center"/>
    </w:pPr>
    <w:rPr>
      <w:rFonts w:ascii="Times New Roman" w:hAnsi="Times New Roman" w:cs="Times New Roman"/>
      <w:kern w:val="0"/>
      <w:sz w:val="20"/>
      <w:szCs w:val="20"/>
    </w:rPr>
    <w:tblPr>
      <w:tblBorders>
        <w:top w:val="single" w:sz="12" w:space="0" w:color="auto"/>
        <w:bottom w:val="single" w:sz="12" w:space="0" w:color="auto"/>
      </w:tblBorders>
    </w:tblPr>
    <w:tblStylePr w:type="firstRow">
      <w:pPr>
        <w:jc w:val="center"/>
      </w:p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FF71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F71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F71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71BF"/>
    <w:rPr>
      <w:rFonts w:cstheme="majorBidi"/>
      <w:color w:val="0F4761" w:themeColor="accent1" w:themeShade="BF"/>
      <w:sz w:val="28"/>
      <w:szCs w:val="28"/>
    </w:rPr>
  </w:style>
  <w:style w:type="character" w:customStyle="1" w:styleId="50">
    <w:name w:val="标题 5 字符"/>
    <w:basedOn w:val="a0"/>
    <w:link w:val="5"/>
    <w:uiPriority w:val="9"/>
    <w:semiHidden/>
    <w:rsid w:val="00FF71BF"/>
    <w:rPr>
      <w:rFonts w:cstheme="majorBidi"/>
      <w:color w:val="0F4761" w:themeColor="accent1" w:themeShade="BF"/>
      <w:sz w:val="24"/>
      <w:szCs w:val="24"/>
    </w:rPr>
  </w:style>
  <w:style w:type="character" w:customStyle="1" w:styleId="60">
    <w:name w:val="标题 6 字符"/>
    <w:basedOn w:val="a0"/>
    <w:link w:val="6"/>
    <w:uiPriority w:val="9"/>
    <w:semiHidden/>
    <w:rsid w:val="00FF71BF"/>
    <w:rPr>
      <w:rFonts w:cstheme="majorBidi"/>
      <w:b/>
      <w:bCs/>
      <w:color w:val="0F4761" w:themeColor="accent1" w:themeShade="BF"/>
    </w:rPr>
  </w:style>
  <w:style w:type="character" w:customStyle="1" w:styleId="70">
    <w:name w:val="标题 7 字符"/>
    <w:basedOn w:val="a0"/>
    <w:link w:val="7"/>
    <w:uiPriority w:val="9"/>
    <w:semiHidden/>
    <w:rsid w:val="00FF71BF"/>
    <w:rPr>
      <w:rFonts w:cstheme="majorBidi"/>
      <w:b/>
      <w:bCs/>
      <w:color w:val="595959" w:themeColor="text1" w:themeTint="A6"/>
    </w:rPr>
  </w:style>
  <w:style w:type="character" w:customStyle="1" w:styleId="80">
    <w:name w:val="标题 8 字符"/>
    <w:basedOn w:val="a0"/>
    <w:link w:val="8"/>
    <w:uiPriority w:val="9"/>
    <w:semiHidden/>
    <w:rsid w:val="00FF71BF"/>
    <w:rPr>
      <w:rFonts w:cstheme="majorBidi"/>
      <w:color w:val="595959" w:themeColor="text1" w:themeTint="A6"/>
    </w:rPr>
  </w:style>
  <w:style w:type="character" w:customStyle="1" w:styleId="90">
    <w:name w:val="标题 9 字符"/>
    <w:basedOn w:val="a0"/>
    <w:link w:val="9"/>
    <w:uiPriority w:val="9"/>
    <w:semiHidden/>
    <w:rsid w:val="00FF71BF"/>
    <w:rPr>
      <w:rFonts w:eastAsiaTheme="majorEastAsia" w:cstheme="majorBidi"/>
      <w:color w:val="595959" w:themeColor="text1" w:themeTint="A6"/>
    </w:rPr>
  </w:style>
  <w:style w:type="paragraph" w:styleId="a4">
    <w:name w:val="Title"/>
    <w:basedOn w:val="a"/>
    <w:next w:val="a"/>
    <w:link w:val="a5"/>
    <w:uiPriority w:val="10"/>
    <w:qFormat/>
    <w:rsid w:val="00FF71BF"/>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FF71B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F71B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FF71BF"/>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FF71BF"/>
    <w:pPr>
      <w:spacing w:before="160" w:after="160"/>
      <w:jc w:val="center"/>
    </w:pPr>
    <w:rPr>
      <w:i/>
      <w:iCs/>
      <w:color w:val="404040" w:themeColor="text1" w:themeTint="BF"/>
    </w:rPr>
  </w:style>
  <w:style w:type="character" w:customStyle="1" w:styleId="a9">
    <w:name w:val="引用 字符"/>
    <w:basedOn w:val="a0"/>
    <w:link w:val="a8"/>
    <w:uiPriority w:val="29"/>
    <w:rsid w:val="00FF71BF"/>
    <w:rPr>
      <w:i/>
      <w:iCs/>
      <w:color w:val="404040" w:themeColor="text1" w:themeTint="BF"/>
    </w:rPr>
  </w:style>
  <w:style w:type="paragraph" w:styleId="aa">
    <w:name w:val="List Paragraph"/>
    <w:basedOn w:val="a"/>
    <w:uiPriority w:val="34"/>
    <w:qFormat/>
    <w:rsid w:val="00FF71BF"/>
    <w:pPr>
      <w:ind w:left="720"/>
      <w:contextualSpacing/>
    </w:pPr>
  </w:style>
  <w:style w:type="character" w:styleId="ab">
    <w:name w:val="Intense Emphasis"/>
    <w:basedOn w:val="a0"/>
    <w:uiPriority w:val="21"/>
    <w:qFormat/>
    <w:rsid w:val="00FF71BF"/>
    <w:rPr>
      <w:i/>
      <w:iCs/>
      <w:color w:val="0F4761" w:themeColor="accent1" w:themeShade="BF"/>
    </w:rPr>
  </w:style>
  <w:style w:type="paragraph" w:styleId="ac">
    <w:name w:val="Intense Quote"/>
    <w:basedOn w:val="a"/>
    <w:next w:val="a"/>
    <w:link w:val="ad"/>
    <w:uiPriority w:val="30"/>
    <w:qFormat/>
    <w:rsid w:val="00FF7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FF71BF"/>
    <w:rPr>
      <w:i/>
      <w:iCs/>
      <w:color w:val="0F4761" w:themeColor="accent1" w:themeShade="BF"/>
    </w:rPr>
  </w:style>
  <w:style w:type="character" w:styleId="ae">
    <w:name w:val="Intense Reference"/>
    <w:basedOn w:val="a0"/>
    <w:uiPriority w:val="32"/>
    <w:qFormat/>
    <w:rsid w:val="00FF71BF"/>
    <w:rPr>
      <w:b/>
      <w:bCs/>
      <w:smallCaps/>
      <w:color w:val="0F4761" w:themeColor="accent1" w:themeShade="BF"/>
      <w:spacing w:val="5"/>
    </w:rPr>
  </w:style>
  <w:style w:type="paragraph" w:styleId="af">
    <w:name w:val="header"/>
    <w:basedOn w:val="a"/>
    <w:link w:val="af0"/>
    <w:uiPriority w:val="99"/>
    <w:unhideWhenUsed/>
    <w:rsid w:val="00792FCF"/>
    <w:pPr>
      <w:tabs>
        <w:tab w:val="center" w:pos="4153"/>
        <w:tab w:val="right" w:pos="8306"/>
      </w:tabs>
      <w:snapToGrid w:val="0"/>
      <w:jc w:val="center"/>
    </w:pPr>
    <w:rPr>
      <w:sz w:val="18"/>
      <w:szCs w:val="18"/>
    </w:rPr>
  </w:style>
  <w:style w:type="character" w:customStyle="1" w:styleId="af0">
    <w:name w:val="页眉 字符"/>
    <w:basedOn w:val="a0"/>
    <w:link w:val="af"/>
    <w:uiPriority w:val="99"/>
    <w:rsid w:val="00792FCF"/>
    <w:rPr>
      <w:sz w:val="18"/>
      <w:szCs w:val="18"/>
    </w:rPr>
  </w:style>
  <w:style w:type="paragraph" w:styleId="af1">
    <w:name w:val="footer"/>
    <w:basedOn w:val="a"/>
    <w:link w:val="af2"/>
    <w:uiPriority w:val="99"/>
    <w:unhideWhenUsed/>
    <w:rsid w:val="00792FCF"/>
    <w:pPr>
      <w:tabs>
        <w:tab w:val="center" w:pos="4153"/>
        <w:tab w:val="right" w:pos="8306"/>
      </w:tabs>
      <w:snapToGrid w:val="0"/>
      <w:jc w:val="left"/>
    </w:pPr>
    <w:rPr>
      <w:sz w:val="18"/>
      <w:szCs w:val="18"/>
    </w:rPr>
  </w:style>
  <w:style w:type="character" w:customStyle="1" w:styleId="af2">
    <w:name w:val="页脚 字符"/>
    <w:basedOn w:val="a0"/>
    <w:link w:val="af1"/>
    <w:uiPriority w:val="99"/>
    <w:rsid w:val="00792F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157</Words>
  <Characters>901</Characters>
  <Application>Microsoft Office Word</Application>
  <DocSecurity>0</DocSecurity>
  <Lines>7</Lines>
  <Paragraphs>2</Paragraphs>
  <ScaleCrop>false</ScaleCrop>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智健 栾</dc:creator>
  <cp:keywords/>
  <dc:description/>
  <cp:lastModifiedBy>智健 栾</cp:lastModifiedBy>
  <cp:revision>3</cp:revision>
  <dcterms:created xsi:type="dcterms:W3CDTF">2025-12-07T11:02:00Z</dcterms:created>
  <dcterms:modified xsi:type="dcterms:W3CDTF">2025-12-15T12:38:00Z</dcterms:modified>
</cp:coreProperties>
</file>