
<file path=[Content_Types].xml><?xml version="1.0" encoding="utf-8"?>
<Types xmlns="http://schemas.openxmlformats.org/package/2006/content-types">
  <Default Extension="bin" ContentType="application/vnd.openxmlformats-officedocument.oleObject"/>
  <Default Extension="jp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443B" w14:textId="4098DD4B" w:rsidR="00E63BBA" w:rsidRDefault="00CA516C">
      <w:r>
        <w:fldChar w:fldCharType="begin"/>
      </w:r>
      <w:r>
        <w:instrText xml:space="preserve"> MACROBUTTON MTEditEquationSection2 </w:instrText>
      </w:r>
      <w:r w:rsidRPr="00CA516C">
        <w:rPr>
          <w:rStyle w:val="MTEquationSection"/>
        </w:rPr>
        <w:instrText>公式章</w:instrText>
      </w:r>
      <w:r w:rsidRPr="00CA516C">
        <w:rPr>
          <w:rStyle w:val="MTEquationSection"/>
        </w:rPr>
        <w:instrText xml:space="preserve"> 1 </w:instrText>
      </w:r>
      <w:r w:rsidRPr="00CA516C">
        <w:rPr>
          <w:rStyle w:val="MTEquationSection"/>
        </w:rPr>
        <w:instrText>节</w:instrText>
      </w:r>
      <w:r w:rsidRPr="00CA516C">
        <w:rPr>
          <w:rStyle w:val="MTEquationSection"/>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23325E62" w14:textId="77777777" w:rsidR="00E63BBA" w:rsidRDefault="00E63BBA"/>
    <w:p w14:paraId="5E5B8BFF" w14:textId="77777777" w:rsidR="00E63BBA" w:rsidRDefault="00E63BBA"/>
    <w:p w14:paraId="7916B0E4" w14:textId="77777777" w:rsidR="00E63BBA" w:rsidRDefault="00E63BBA"/>
    <w:p w14:paraId="768D134F" w14:textId="77777777" w:rsidR="00E63BBA" w:rsidRDefault="00E63BBA"/>
    <w:p w14:paraId="1D2AC0E7" w14:textId="77777777" w:rsidR="00E63BBA" w:rsidRDefault="00E63BBA"/>
    <w:p w14:paraId="0C37137F" w14:textId="77777777" w:rsidR="00E63BBA" w:rsidRDefault="00000000">
      <w:pPr>
        <w:ind w:firstLine="0"/>
        <w:jc w:val="center"/>
      </w:pPr>
      <w:r>
        <w:rPr>
          <w:b/>
          <w:sz w:val="44"/>
        </w:rPr>
        <w:t>供应链管理课程作业</w:t>
      </w:r>
    </w:p>
    <w:p w14:paraId="37F39DBE" w14:textId="77777777" w:rsidR="00E63BBA" w:rsidRDefault="00000000">
      <w:pPr>
        <w:ind w:firstLine="0"/>
        <w:jc w:val="center"/>
      </w:pPr>
      <w:r>
        <w:rPr>
          <w:sz w:val="28"/>
        </w:rPr>
        <w:t>Supply Chain Management</w:t>
      </w:r>
    </w:p>
    <w:p w14:paraId="17F75B1E" w14:textId="77777777" w:rsidR="00E63BBA" w:rsidRDefault="00000000">
      <w:pPr>
        <w:ind w:firstLine="0"/>
        <w:jc w:val="center"/>
      </w:pPr>
      <w:r>
        <w:rPr>
          <w:sz w:val="28"/>
        </w:rPr>
        <w:t>2025-2026</w:t>
      </w:r>
      <w:r>
        <w:rPr>
          <w:sz w:val="28"/>
        </w:rPr>
        <w:t>学年第</w:t>
      </w:r>
      <w:r>
        <w:rPr>
          <w:sz w:val="28"/>
        </w:rPr>
        <w:t>2</w:t>
      </w:r>
      <w:r>
        <w:rPr>
          <w:sz w:val="28"/>
        </w:rPr>
        <w:t>学期</w:t>
      </w:r>
    </w:p>
    <w:p w14:paraId="076F4041" w14:textId="77777777" w:rsidR="00E63BBA" w:rsidRDefault="00E63BBA"/>
    <w:p w14:paraId="5200B37C" w14:textId="77777777" w:rsidR="00E63BBA" w:rsidRDefault="00E63BBA"/>
    <w:p w14:paraId="7FF28CE3" w14:textId="77777777" w:rsidR="00E63BBA" w:rsidRDefault="00000000">
      <w:pPr>
        <w:ind w:firstLine="0"/>
        <w:jc w:val="center"/>
      </w:pPr>
      <w:r>
        <w:rPr>
          <w:b/>
          <w:sz w:val="36"/>
        </w:rPr>
        <w:t>葡萄牙造纸公司（</w:t>
      </w:r>
      <w:r>
        <w:rPr>
          <w:b/>
          <w:sz w:val="36"/>
        </w:rPr>
        <w:t>PPP</w:t>
      </w:r>
      <w:r>
        <w:rPr>
          <w:b/>
          <w:sz w:val="36"/>
        </w:rPr>
        <w:t>）配送网络重构案例分析</w:t>
      </w:r>
    </w:p>
    <w:p w14:paraId="1713CF70" w14:textId="77777777" w:rsidR="00E63BBA" w:rsidRDefault="00000000">
      <w:pPr>
        <w:ind w:firstLine="0"/>
        <w:jc w:val="center"/>
      </w:pPr>
      <w:r>
        <w:t>Network Redesign Case Study of Portuguese Paper Producer</w:t>
      </w:r>
    </w:p>
    <w:p w14:paraId="6E09AF9C" w14:textId="77777777" w:rsidR="00E63BBA" w:rsidRDefault="00E63BBA"/>
    <w:p w14:paraId="04A2EF28" w14:textId="77777777" w:rsidR="00E63BBA" w:rsidRDefault="00E63BBA"/>
    <w:p w14:paraId="79BD9231" w14:textId="77777777" w:rsidR="00E63BBA" w:rsidRDefault="00000000">
      <w:pPr>
        <w:ind w:firstLine="0"/>
        <w:jc w:val="center"/>
      </w:pPr>
      <w:r>
        <w:t>小组成员（姓名</w:t>
      </w:r>
      <w:r>
        <w:t xml:space="preserve"> / </w:t>
      </w:r>
      <w:r>
        <w:t>学号）：</w:t>
      </w:r>
    </w:p>
    <w:p w14:paraId="789E58A2" w14:textId="77777777" w:rsidR="00E63BBA" w:rsidRDefault="00000000">
      <w:pPr>
        <w:ind w:firstLine="0"/>
        <w:jc w:val="center"/>
        <w:rPr>
          <w:lang w:eastAsia="zh-CN"/>
        </w:rPr>
      </w:pPr>
      <w:r>
        <w:rPr>
          <w:lang w:eastAsia="zh-CN"/>
        </w:rPr>
        <w:t>_________________________     _________________________</w:t>
      </w:r>
    </w:p>
    <w:p w14:paraId="6DBB4259" w14:textId="77777777" w:rsidR="00E63BBA" w:rsidRDefault="00000000">
      <w:pPr>
        <w:ind w:firstLine="0"/>
        <w:jc w:val="center"/>
        <w:rPr>
          <w:lang w:eastAsia="zh-CN"/>
        </w:rPr>
      </w:pPr>
      <w:r>
        <w:rPr>
          <w:lang w:eastAsia="zh-CN"/>
        </w:rPr>
        <w:t>_________________________     _________________________</w:t>
      </w:r>
    </w:p>
    <w:p w14:paraId="43ED4824" w14:textId="77777777" w:rsidR="00E63BBA" w:rsidRDefault="00000000">
      <w:pPr>
        <w:ind w:firstLine="0"/>
        <w:jc w:val="center"/>
        <w:rPr>
          <w:lang w:eastAsia="zh-CN"/>
        </w:rPr>
      </w:pPr>
      <w:r>
        <w:rPr>
          <w:lang w:eastAsia="zh-CN"/>
        </w:rPr>
        <w:t>_________________________     _________________________</w:t>
      </w:r>
    </w:p>
    <w:p w14:paraId="00F57801" w14:textId="77777777" w:rsidR="00E63BBA" w:rsidRDefault="00000000">
      <w:pPr>
        <w:ind w:firstLine="0"/>
        <w:jc w:val="center"/>
        <w:rPr>
          <w:lang w:eastAsia="zh-CN"/>
        </w:rPr>
      </w:pPr>
      <w:r>
        <w:rPr>
          <w:lang w:eastAsia="zh-CN"/>
        </w:rPr>
        <w:t>_________________________     _________________________</w:t>
      </w:r>
    </w:p>
    <w:p w14:paraId="6409798E" w14:textId="77777777" w:rsidR="00E63BBA" w:rsidRDefault="00E63BBA">
      <w:pPr>
        <w:ind w:firstLine="0"/>
        <w:jc w:val="center"/>
        <w:rPr>
          <w:lang w:eastAsia="zh-CN"/>
        </w:rPr>
      </w:pPr>
    </w:p>
    <w:p w14:paraId="5A892975" w14:textId="77777777" w:rsidR="00E63BBA" w:rsidRDefault="00000000">
      <w:pPr>
        <w:ind w:firstLine="0"/>
        <w:jc w:val="center"/>
        <w:rPr>
          <w:lang w:eastAsia="zh-CN"/>
        </w:rPr>
      </w:pPr>
      <w:r>
        <w:rPr>
          <w:lang w:eastAsia="zh-CN"/>
        </w:rPr>
        <w:t>授课教师：</w:t>
      </w:r>
      <w:r>
        <w:rPr>
          <w:lang w:eastAsia="zh-CN"/>
        </w:rPr>
        <w:t>Jinping Liu</w:t>
      </w:r>
    </w:p>
    <w:p w14:paraId="5B084FE2" w14:textId="77777777" w:rsidR="00E63BBA" w:rsidRDefault="00E63BBA">
      <w:pPr>
        <w:ind w:firstLine="0"/>
        <w:jc w:val="center"/>
        <w:rPr>
          <w:lang w:eastAsia="zh-CN"/>
        </w:rPr>
      </w:pPr>
    </w:p>
    <w:p w14:paraId="68ED7DE5" w14:textId="77777777" w:rsidR="00E63BBA" w:rsidRDefault="00000000">
      <w:pPr>
        <w:ind w:firstLine="0"/>
        <w:jc w:val="center"/>
        <w:rPr>
          <w:lang w:eastAsia="zh-CN"/>
        </w:rPr>
      </w:pPr>
      <w:r>
        <w:rPr>
          <w:lang w:eastAsia="zh-CN"/>
        </w:rPr>
        <w:t>"</w:t>
      </w:r>
      <w:r>
        <w:rPr>
          <w:lang w:eastAsia="zh-CN"/>
        </w:rPr>
        <w:t>本报告为我们独立完成的原创工作。</w:t>
      </w:r>
      <w:r>
        <w:rPr>
          <w:lang w:eastAsia="zh-CN"/>
        </w:rPr>
        <w:t>"</w:t>
      </w:r>
    </w:p>
    <w:p w14:paraId="7A03B080" w14:textId="77777777" w:rsidR="00E63BBA" w:rsidRDefault="00000000">
      <w:pPr>
        <w:ind w:firstLine="0"/>
        <w:jc w:val="center"/>
        <w:rPr>
          <w:lang w:eastAsia="zh-CN"/>
        </w:rPr>
      </w:pPr>
      <w:r>
        <w:rPr>
          <w:lang w:eastAsia="zh-CN"/>
        </w:rPr>
        <w:t>小组成员签名：</w:t>
      </w:r>
      <w:r>
        <w:rPr>
          <w:lang w:eastAsia="zh-CN"/>
        </w:rPr>
        <w:t>_______________</w:t>
      </w:r>
    </w:p>
    <w:p w14:paraId="7A97176E" w14:textId="77777777" w:rsidR="00E63BBA" w:rsidRDefault="00000000">
      <w:pPr>
        <w:rPr>
          <w:lang w:eastAsia="zh-CN"/>
        </w:rPr>
      </w:pPr>
      <w:r>
        <w:rPr>
          <w:lang w:eastAsia="zh-CN"/>
        </w:rPr>
        <w:br w:type="page"/>
      </w:r>
    </w:p>
    <w:p w14:paraId="116ADDC3" w14:textId="77777777" w:rsidR="00E63BBA" w:rsidRDefault="00000000">
      <w:pPr>
        <w:pStyle w:val="1"/>
        <w:rPr>
          <w:lang w:eastAsia="zh-CN"/>
        </w:rPr>
      </w:pPr>
      <w:r>
        <w:rPr>
          <w:lang w:eastAsia="zh-CN"/>
        </w:rPr>
        <w:lastRenderedPageBreak/>
        <w:t xml:space="preserve">1  </w:t>
      </w:r>
      <w:r>
        <w:rPr>
          <w:lang w:eastAsia="zh-CN"/>
        </w:rPr>
        <w:t>引言</w:t>
      </w:r>
    </w:p>
    <w:p w14:paraId="4BCA2CA0" w14:textId="77777777" w:rsidR="00E63BBA" w:rsidRDefault="00000000">
      <w:pPr>
        <w:rPr>
          <w:lang w:eastAsia="zh-CN"/>
        </w:rPr>
      </w:pPr>
      <w:r>
        <w:rPr>
          <w:lang w:eastAsia="zh-CN"/>
        </w:rPr>
        <w:t>葡萄牙造纸公司（</w:t>
      </w:r>
      <w:r>
        <w:rPr>
          <w:lang w:eastAsia="zh-CN"/>
        </w:rPr>
        <w:t>Portuguese Paper Producer, PPP</w:t>
      </w:r>
      <w:r>
        <w:rPr>
          <w:lang w:eastAsia="zh-CN"/>
        </w:rPr>
        <w:t>）是一家位于里斯本的成熟散装纸品生产企业。公司凭借当地优质木材资源发展壮大，产品销往西欧各地。散装纸品作为大宗商品，客户忠诚度低、价格敏感度高，同时客户对供货及时性要求严格</w:t>
      </w:r>
      <w:r>
        <w:rPr>
          <w:lang w:eastAsia="zh-CN"/>
        </w:rPr>
        <w:t>——</w:t>
      </w:r>
      <w:r>
        <w:rPr>
          <w:lang w:eastAsia="zh-CN"/>
        </w:rPr>
        <w:t>缺货即意味着丢失订单。这两方面因素使得配送网络的效率和服务可靠性成为企业核心竞争力的重要组成部分。</w:t>
      </w:r>
    </w:p>
    <w:p w14:paraId="261EC51A" w14:textId="77777777" w:rsidR="00E63BBA" w:rsidRDefault="00000000">
      <w:pPr>
        <w:rPr>
          <w:lang w:eastAsia="zh-CN"/>
        </w:rPr>
      </w:pPr>
      <w:r>
        <w:rPr>
          <w:lang w:eastAsia="zh-CN"/>
        </w:rPr>
        <w:t>当前，</w:t>
      </w:r>
      <w:r>
        <w:rPr>
          <w:lang w:eastAsia="zh-CN"/>
        </w:rPr>
        <w:t>PPP</w:t>
      </w:r>
      <w:r>
        <w:rPr>
          <w:lang w:eastAsia="zh-CN"/>
        </w:rPr>
        <w:t>管理层已认识到配送总成本过高的问题，希望对现有网络进行系统性分析和优化。本报告旨在：（</w:t>
      </w:r>
      <w:r>
        <w:rPr>
          <w:lang w:eastAsia="zh-CN"/>
        </w:rPr>
        <w:t>1</w:t>
      </w:r>
      <w:r>
        <w:rPr>
          <w:lang w:eastAsia="zh-CN"/>
        </w:rPr>
        <w:t>）描述</w:t>
      </w:r>
      <w:r>
        <w:rPr>
          <w:lang w:eastAsia="zh-CN"/>
        </w:rPr>
        <w:t>PPP</w:t>
      </w:r>
      <w:r>
        <w:rPr>
          <w:lang w:eastAsia="zh-CN"/>
        </w:rPr>
        <w:t>现有配送网络的结构和运作模式；（</w:t>
      </w:r>
      <w:r>
        <w:rPr>
          <w:lang w:eastAsia="zh-CN"/>
        </w:rPr>
        <w:t>2</w:t>
      </w:r>
      <w:r>
        <w:rPr>
          <w:lang w:eastAsia="zh-CN"/>
        </w:rPr>
        <w:t>）建立成本分析模型，量化各项配送成本；（</w:t>
      </w:r>
      <w:r>
        <w:rPr>
          <w:lang w:eastAsia="zh-CN"/>
        </w:rPr>
        <w:t>3</w:t>
      </w:r>
      <w:r>
        <w:rPr>
          <w:lang w:eastAsia="zh-CN"/>
        </w:rPr>
        <w:t>）在基准情景基础上提出至少四个备选方案并进行对比评价。随附</w:t>
      </w:r>
      <w:r>
        <w:rPr>
          <w:lang w:eastAsia="zh-CN"/>
        </w:rPr>
        <w:t>Excel</w:t>
      </w:r>
      <w:r>
        <w:rPr>
          <w:lang w:eastAsia="zh-CN"/>
        </w:rPr>
        <w:t>工作簿提供了完整的计算模型。</w:t>
      </w:r>
    </w:p>
    <w:p w14:paraId="057C3B29" w14:textId="77777777" w:rsidR="00E63BBA" w:rsidRDefault="00000000">
      <w:pPr>
        <w:pStyle w:val="1"/>
        <w:rPr>
          <w:lang w:eastAsia="zh-CN"/>
        </w:rPr>
      </w:pPr>
      <w:r>
        <w:rPr>
          <w:lang w:eastAsia="zh-CN"/>
        </w:rPr>
        <w:t xml:space="preserve">2  </w:t>
      </w:r>
      <w:r>
        <w:rPr>
          <w:lang w:eastAsia="zh-CN"/>
        </w:rPr>
        <w:t>配送网络现状</w:t>
      </w:r>
    </w:p>
    <w:p w14:paraId="09F636AA" w14:textId="77777777" w:rsidR="00E63BBA" w:rsidRDefault="00000000">
      <w:pPr>
        <w:pStyle w:val="21"/>
        <w:rPr>
          <w:lang w:eastAsia="zh-CN"/>
        </w:rPr>
      </w:pPr>
      <w:r>
        <w:rPr>
          <w:lang w:eastAsia="zh-CN"/>
        </w:rPr>
        <w:t xml:space="preserve">2.1  </w:t>
      </w:r>
      <w:r>
        <w:rPr>
          <w:lang w:eastAsia="zh-CN"/>
        </w:rPr>
        <w:t>网络结构</w:t>
      </w:r>
    </w:p>
    <w:p w14:paraId="459BD606" w14:textId="77777777" w:rsidR="00E63BBA" w:rsidRDefault="00000000">
      <w:pPr>
        <w:rPr>
          <w:lang w:eastAsia="zh-CN"/>
        </w:rPr>
      </w:pPr>
      <w:r>
        <w:rPr>
          <w:lang w:eastAsia="zh-CN"/>
        </w:rPr>
        <w:t>PPP</w:t>
      </w:r>
      <w:r>
        <w:rPr>
          <w:lang w:eastAsia="zh-CN"/>
        </w:rPr>
        <w:t>采用二级</w:t>
      </w:r>
      <w:r>
        <w:rPr>
          <w:lang w:eastAsia="zh-CN"/>
        </w:rPr>
        <w:t>"</w:t>
      </w:r>
      <w:r>
        <w:rPr>
          <w:lang w:eastAsia="zh-CN"/>
        </w:rPr>
        <w:t>干线</w:t>
      </w:r>
      <w:r>
        <w:rPr>
          <w:lang w:eastAsia="zh-CN"/>
        </w:rPr>
        <w:t>+</w:t>
      </w:r>
      <w:r>
        <w:rPr>
          <w:lang w:eastAsia="zh-CN"/>
        </w:rPr>
        <w:t>支线</w:t>
      </w:r>
      <w:r>
        <w:rPr>
          <w:lang w:eastAsia="zh-CN"/>
        </w:rPr>
        <w:t>"</w:t>
      </w:r>
      <w:r>
        <w:rPr>
          <w:lang w:eastAsia="zh-CN"/>
        </w:rPr>
        <w:t>配送模式。里斯本工厂为唯一生产基地，原材料（木材）从斯堪的纳维亚经海路运至里斯本港，再由公路转运至工厂。产成品通过七个区域配送中心（</w:t>
      </w:r>
      <w:r>
        <w:rPr>
          <w:lang w:eastAsia="zh-CN"/>
        </w:rPr>
        <w:t>Distribution Centre, DC</w:t>
      </w:r>
      <w:r>
        <w:rPr>
          <w:lang w:eastAsia="zh-CN"/>
        </w:rPr>
        <w:t>）分销至西欧</w:t>
      </w:r>
      <w:r>
        <w:rPr>
          <w:lang w:eastAsia="zh-CN"/>
        </w:rPr>
        <w:t>12</w:t>
      </w:r>
      <w:r>
        <w:rPr>
          <w:lang w:eastAsia="zh-CN"/>
        </w:rPr>
        <w:t>个国家</w:t>
      </w:r>
      <w:r>
        <w:rPr>
          <w:lang w:eastAsia="zh-CN"/>
        </w:rPr>
        <w:t>/</w:t>
      </w:r>
      <w:r>
        <w:rPr>
          <w:lang w:eastAsia="zh-CN"/>
        </w:rPr>
        <w:t>地区的</w:t>
      </w:r>
      <w:r>
        <w:rPr>
          <w:lang w:eastAsia="zh-CN"/>
        </w:rPr>
        <w:t>53</w:t>
      </w:r>
      <w:r>
        <w:rPr>
          <w:lang w:eastAsia="zh-CN"/>
        </w:rPr>
        <w:t>个客户点。各</w:t>
      </w:r>
      <w:r>
        <w:rPr>
          <w:lang w:eastAsia="zh-CN"/>
        </w:rPr>
        <w:t>DC</w:t>
      </w:r>
      <w:r>
        <w:rPr>
          <w:lang w:eastAsia="zh-CN"/>
        </w:rPr>
        <w:t>充当库存存储与货物集散节点，干线运输（</w:t>
      </w:r>
      <w:r>
        <w:rPr>
          <w:lang w:eastAsia="zh-CN"/>
        </w:rPr>
        <w:t>Trunking</w:t>
      </w:r>
      <w:r>
        <w:rPr>
          <w:lang w:eastAsia="zh-CN"/>
        </w:rPr>
        <w:t>）将产品从工厂批量运至</w:t>
      </w:r>
      <w:r>
        <w:rPr>
          <w:lang w:eastAsia="zh-CN"/>
        </w:rPr>
        <w:t>DC</w:t>
      </w:r>
      <w:r>
        <w:rPr>
          <w:lang w:eastAsia="zh-CN"/>
        </w:rPr>
        <w:t>，再由本地配送（</w:t>
      </w:r>
      <w:r>
        <w:rPr>
          <w:lang w:eastAsia="zh-CN"/>
        </w:rPr>
        <w:t>Local Delivery</w:t>
      </w:r>
      <w:r>
        <w:rPr>
          <w:lang w:eastAsia="zh-CN"/>
        </w:rPr>
        <w:t>）完成最后一公里分拨。</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1662"/>
        <w:gridCol w:w="1662"/>
        <w:gridCol w:w="1662"/>
        <w:gridCol w:w="1662"/>
        <w:gridCol w:w="1662"/>
      </w:tblGrid>
      <w:tr w:rsidR="00E63BBA" w14:paraId="2F02B75A" w14:textId="77777777">
        <w:trPr>
          <w:cantSplit/>
          <w:tblHeader/>
          <w:jc w:val="center"/>
        </w:trPr>
        <w:tc>
          <w:tcPr>
            <w:tcW w:w="1662"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066E7BDA" w14:textId="77777777" w:rsidR="00E63BBA" w:rsidRDefault="00000000">
            <w:pPr>
              <w:spacing w:line="240" w:lineRule="auto"/>
              <w:ind w:firstLine="0"/>
              <w:jc w:val="center"/>
            </w:pPr>
            <w:r>
              <w:rPr>
                <w:b/>
                <w:color w:val="000000"/>
                <w:sz w:val="20"/>
              </w:rPr>
              <w:t>DC</w:t>
            </w:r>
            <w:r>
              <w:rPr>
                <w:b/>
                <w:color w:val="000000"/>
                <w:sz w:val="20"/>
              </w:rPr>
              <w:t>所在地</w:t>
            </w:r>
          </w:p>
        </w:tc>
        <w:tc>
          <w:tcPr>
            <w:tcW w:w="1662"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5791FB3D" w14:textId="77777777" w:rsidR="00E63BBA" w:rsidRDefault="00000000">
            <w:pPr>
              <w:spacing w:line="240" w:lineRule="auto"/>
              <w:ind w:firstLine="0"/>
              <w:jc w:val="center"/>
            </w:pPr>
            <w:r>
              <w:rPr>
                <w:b/>
                <w:color w:val="000000"/>
                <w:sz w:val="20"/>
              </w:rPr>
              <w:t>所在国</w:t>
            </w:r>
          </w:p>
        </w:tc>
        <w:tc>
          <w:tcPr>
            <w:tcW w:w="1662"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166030F9" w14:textId="77777777" w:rsidR="00E63BBA" w:rsidRDefault="00000000">
            <w:pPr>
              <w:spacing w:line="240" w:lineRule="auto"/>
              <w:ind w:firstLine="0"/>
              <w:jc w:val="center"/>
            </w:pPr>
            <w:r>
              <w:rPr>
                <w:b/>
                <w:color w:val="000000"/>
                <w:sz w:val="20"/>
              </w:rPr>
              <w:t>节点编号</w:t>
            </w:r>
          </w:p>
        </w:tc>
        <w:tc>
          <w:tcPr>
            <w:tcW w:w="1662"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034383D2" w14:textId="77777777" w:rsidR="00E63BBA" w:rsidRDefault="00000000">
            <w:pPr>
              <w:spacing w:line="240" w:lineRule="auto"/>
              <w:ind w:firstLine="0"/>
              <w:jc w:val="center"/>
            </w:pPr>
            <w:r>
              <w:rPr>
                <w:b/>
                <w:color w:val="000000"/>
                <w:sz w:val="20"/>
              </w:rPr>
              <w:t>服务区域</w:t>
            </w:r>
          </w:p>
        </w:tc>
        <w:tc>
          <w:tcPr>
            <w:tcW w:w="1662"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5024CE14" w14:textId="77777777" w:rsidR="00E63BBA" w:rsidRDefault="00000000">
            <w:pPr>
              <w:spacing w:line="240" w:lineRule="auto"/>
              <w:ind w:firstLine="0"/>
              <w:jc w:val="center"/>
            </w:pPr>
            <w:r>
              <w:rPr>
                <w:b/>
                <w:color w:val="000000"/>
                <w:sz w:val="20"/>
              </w:rPr>
              <w:t>周吞吐量</w:t>
            </w:r>
            <w:r>
              <w:rPr>
                <w:b/>
                <w:color w:val="000000"/>
                <w:sz w:val="20"/>
              </w:rPr>
              <w:t>(</w:t>
            </w:r>
            <w:r>
              <w:rPr>
                <w:b/>
                <w:color w:val="000000"/>
                <w:sz w:val="20"/>
              </w:rPr>
              <w:t>吨</w:t>
            </w:r>
            <w:r>
              <w:rPr>
                <w:b/>
                <w:color w:val="000000"/>
                <w:sz w:val="20"/>
              </w:rPr>
              <w:t>)</w:t>
            </w:r>
          </w:p>
        </w:tc>
      </w:tr>
      <w:tr w:rsidR="00E63BBA" w14:paraId="23EFDF27"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1640B943" w14:textId="77777777" w:rsidR="00E63BBA" w:rsidRDefault="00000000">
            <w:pPr>
              <w:spacing w:line="240" w:lineRule="auto"/>
              <w:ind w:firstLine="0"/>
              <w:jc w:val="center"/>
            </w:pPr>
            <w:r>
              <w:rPr>
                <w:color w:val="000000"/>
                <w:sz w:val="20"/>
              </w:rPr>
              <w:t>里斯本</w:t>
            </w:r>
            <w:r>
              <w:rPr>
                <w:color w:val="000000"/>
                <w:sz w:val="20"/>
              </w:rPr>
              <w:t xml:space="preserve"> (Lisbon)</w:t>
            </w:r>
          </w:p>
        </w:tc>
        <w:tc>
          <w:tcPr>
            <w:tcW w:w="1662" w:type="dxa"/>
            <w:tcBorders>
              <w:top w:val="nil"/>
              <w:left w:val="nil"/>
              <w:bottom w:val="nil"/>
              <w:right w:val="nil"/>
            </w:tcBorders>
            <w:tcMar>
              <w:top w:w="80" w:type="dxa"/>
              <w:left w:w="80" w:type="dxa"/>
              <w:bottom w:w="80" w:type="dxa"/>
              <w:right w:w="80" w:type="dxa"/>
            </w:tcMar>
            <w:vAlign w:val="center"/>
          </w:tcPr>
          <w:p w14:paraId="4C0FF058" w14:textId="77777777" w:rsidR="00E63BBA" w:rsidRDefault="00000000">
            <w:pPr>
              <w:spacing w:line="240" w:lineRule="auto"/>
              <w:ind w:firstLine="0"/>
              <w:jc w:val="center"/>
            </w:pPr>
            <w:r>
              <w:rPr>
                <w:color w:val="000000"/>
                <w:sz w:val="20"/>
              </w:rPr>
              <w:t>葡萄牙</w:t>
            </w:r>
          </w:p>
        </w:tc>
        <w:tc>
          <w:tcPr>
            <w:tcW w:w="1662" w:type="dxa"/>
            <w:tcBorders>
              <w:top w:val="nil"/>
              <w:left w:val="nil"/>
              <w:bottom w:val="nil"/>
              <w:right w:val="nil"/>
            </w:tcBorders>
            <w:tcMar>
              <w:top w:w="80" w:type="dxa"/>
              <w:left w:w="80" w:type="dxa"/>
              <w:bottom w:w="80" w:type="dxa"/>
              <w:right w:w="80" w:type="dxa"/>
            </w:tcMar>
            <w:vAlign w:val="center"/>
          </w:tcPr>
          <w:p w14:paraId="1A8431DE" w14:textId="77777777" w:rsidR="00E63BBA" w:rsidRDefault="00000000">
            <w:pPr>
              <w:spacing w:line="240" w:lineRule="auto"/>
              <w:ind w:firstLine="0"/>
              <w:jc w:val="center"/>
            </w:pPr>
            <w:r>
              <w:rPr>
                <w:color w:val="000000"/>
                <w:sz w:val="20"/>
              </w:rPr>
              <w:t>3</w:t>
            </w:r>
          </w:p>
        </w:tc>
        <w:tc>
          <w:tcPr>
            <w:tcW w:w="1662" w:type="dxa"/>
            <w:tcBorders>
              <w:top w:val="nil"/>
              <w:left w:val="nil"/>
              <w:bottom w:val="nil"/>
              <w:right w:val="nil"/>
            </w:tcBorders>
            <w:tcMar>
              <w:top w:w="80" w:type="dxa"/>
              <w:left w:w="80" w:type="dxa"/>
              <w:bottom w:w="80" w:type="dxa"/>
              <w:right w:w="80" w:type="dxa"/>
            </w:tcMar>
            <w:vAlign w:val="center"/>
          </w:tcPr>
          <w:p w14:paraId="5C79D994" w14:textId="77777777" w:rsidR="00E63BBA" w:rsidRDefault="00000000">
            <w:pPr>
              <w:spacing w:line="240" w:lineRule="auto"/>
              <w:ind w:firstLine="0"/>
              <w:jc w:val="center"/>
            </w:pPr>
            <w:r>
              <w:rPr>
                <w:color w:val="000000"/>
                <w:sz w:val="20"/>
              </w:rPr>
              <w:t>西班牙及葡萄牙</w:t>
            </w:r>
          </w:p>
        </w:tc>
        <w:tc>
          <w:tcPr>
            <w:tcW w:w="1662" w:type="dxa"/>
            <w:tcBorders>
              <w:top w:val="nil"/>
              <w:left w:val="nil"/>
              <w:bottom w:val="nil"/>
              <w:right w:val="nil"/>
            </w:tcBorders>
            <w:tcMar>
              <w:top w:w="80" w:type="dxa"/>
              <w:left w:w="80" w:type="dxa"/>
              <w:bottom w:w="80" w:type="dxa"/>
              <w:right w:w="80" w:type="dxa"/>
            </w:tcMar>
            <w:vAlign w:val="center"/>
          </w:tcPr>
          <w:p w14:paraId="499CEAFE" w14:textId="77777777" w:rsidR="00E63BBA" w:rsidRDefault="00000000">
            <w:pPr>
              <w:spacing w:line="240" w:lineRule="auto"/>
              <w:ind w:firstLine="0"/>
              <w:jc w:val="center"/>
            </w:pPr>
            <w:r>
              <w:rPr>
                <w:color w:val="000000"/>
                <w:sz w:val="20"/>
              </w:rPr>
              <w:t>300</w:t>
            </w:r>
          </w:p>
        </w:tc>
      </w:tr>
      <w:tr w:rsidR="00E63BBA" w14:paraId="3823CC5B"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44509C95" w14:textId="77777777" w:rsidR="00E63BBA" w:rsidRDefault="00000000">
            <w:pPr>
              <w:spacing w:line="240" w:lineRule="auto"/>
              <w:ind w:firstLine="0"/>
              <w:jc w:val="center"/>
            </w:pPr>
            <w:r>
              <w:rPr>
                <w:color w:val="000000"/>
                <w:sz w:val="20"/>
              </w:rPr>
              <w:t>巴黎</w:t>
            </w:r>
            <w:r>
              <w:rPr>
                <w:color w:val="000000"/>
                <w:sz w:val="20"/>
              </w:rPr>
              <w:t xml:space="preserve"> (Paris)</w:t>
            </w:r>
          </w:p>
        </w:tc>
        <w:tc>
          <w:tcPr>
            <w:tcW w:w="1662" w:type="dxa"/>
            <w:tcBorders>
              <w:top w:val="nil"/>
              <w:left w:val="nil"/>
              <w:bottom w:val="nil"/>
              <w:right w:val="nil"/>
            </w:tcBorders>
            <w:tcMar>
              <w:top w:w="80" w:type="dxa"/>
              <w:left w:w="80" w:type="dxa"/>
              <w:bottom w:w="80" w:type="dxa"/>
              <w:right w:w="80" w:type="dxa"/>
            </w:tcMar>
            <w:vAlign w:val="center"/>
          </w:tcPr>
          <w:p w14:paraId="6393C98F" w14:textId="77777777" w:rsidR="00E63BBA" w:rsidRDefault="00000000">
            <w:pPr>
              <w:spacing w:line="240" w:lineRule="auto"/>
              <w:ind w:firstLine="0"/>
              <w:jc w:val="center"/>
            </w:pPr>
            <w:r>
              <w:rPr>
                <w:color w:val="000000"/>
                <w:sz w:val="20"/>
              </w:rPr>
              <w:t>法国</w:t>
            </w:r>
          </w:p>
        </w:tc>
        <w:tc>
          <w:tcPr>
            <w:tcW w:w="1662" w:type="dxa"/>
            <w:tcBorders>
              <w:top w:val="nil"/>
              <w:left w:val="nil"/>
              <w:bottom w:val="nil"/>
              <w:right w:val="nil"/>
            </w:tcBorders>
            <w:tcMar>
              <w:top w:w="80" w:type="dxa"/>
              <w:left w:w="80" w:type="dxa"/>
              <w:bottom w:w="80" w:type="dxa"/>
              <w:right w:w="80" w:type="dxa"/>
            </w:tcMar>
            <w:vAlign w:val="center"/>
          </w:tcPr>
          <w:p w14:paraId="37A84D17" w14:textId="77777777" w:rsidR="00E63BBA" w:rsidRDefault="00000000">
            <w:pPr>
              <w:spacing w:line="240" w:lineRule="auto"/>
              <w:ind w:firstLine="0"/>
              <w:jc w:val="center"/>
            </w:pPr>
            <w:r>
              <w:rPr>
                <w:color w:val="000000"/>
                <w:sz w:val="20"/>
              </w:rPr>
              <w:t>2</w:t>
            </w:r>
          </w:p>
        </w:tc>
        <w:tc>
          <w:tcPr>
            <w:tcW w:w="1662" w:type="dxa"/>
            <w:tcBorders>
              <w:top w:val="nil"/>
              <w:left w:val="nil"/>
              <w:bottom w:val="nil"/>
              <w:right w:val="nil"/>
            </w:tcBorders>
            <w:tcMar>
              <w:top w:w="80" w:type="dxa"/>
              <w:left w:w="80" w:type="dxa"/>
              <w:bottom w:w="80" w:type="dxa"/>
              <w:right w:w="80" w:type="dxa"/>
            </w:tcMar>
            <w:vAlign w:val="center"/>
          </w:tcPr>
          <w:p w14:paraId="4EA23289" w14:textId="77777777" w:rsidR="00E63BBA" w:rsidRDefault="00000000">
            <w:pPr>
              <w:spacing w:line="240" w:lineRule="auto"/>
              <w:ind w:firstLine="0"/>
              <w:jc w:val="center"/>
            </w:pPr>
            <w:r>
              <w:rPr>
                <w:color w:val="000000"/>
                <w:sz w:val="20"/>
              </w:rPr>
              <w:t>法国</w:t>
            </w:r>
          </w:p>
        </w:tc>
        <w:tc>
          <w:tcPr>
            <w:tcW w:w="1662" w:type="dxa"/>
            <w:tcBorders>
              <w:top w:val="nil"/>
              <w:left w:val="nil"/>
              <w:bottom w:val="nil"/>
              <w:right w:val="nil"/>
            </w:tcBorders>
            <w:tcMar>
              <w:top w:w="80" w:type="dxa"/>
              <w:left w:w="80" w:type="dxa"/>
              <w:bottom w:w="80" w:type="dxa"/>
              <w:right w:w="80" w:type="dxa"/>
            </w:tcMar>
            <w:vAlign w:val="center"/>
          </w:tcPr>
          <w:p w14:paraId="3F79A10A" w14:textId="77777777" w:rsidR="00E63BBA" w:rsidRDefault="00000000">
            <w:pPr>
              <w:spacing w:line="240" w:lineRule="auto"/>
              <w:ind w:firstLine="0"/>
              <w:jc w:val="center"/>
            </w:pPr>
            <w:r>
              <w:rPr>
                <w:color w:val="000000"/>
                <w:sz w:val="20"/>
              </w:rPr>
              <w:t>401</w:t>
            </w:r>
          </w:p>
        </w:tc>
      </w:tr>
      <w:tr w:rsidR="00E63BBA" w14:paraId="3680F536"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5063A316" w14:textId="77777777" w:rsidR="00E63BBA" w:rsidRDefault="00000000">
            <w:pPr>
              <w:spacing w:line="240" w:lineRule="auto"/>
              <w:ind w:firstLine="0"/>
              <w:jc w:val="center"/>
            </w:pPr>
            <w:r>
              <w:rPr>
                <w:color w:val="000000"/>
                <w:sz w:val="20"/>
              </w:rPr>
              <w:t>慕尼黑</w:t>
            </w:r>
            <w:r>
              <w:rPr>
                <w:color w:val="000000"/>
                <w:sz w:val="20"/>
              </w:rPr>
              <w:t xml:space="preserve"> (Munich)</w:t>
            </w:r>
          </w:p>
        </w:tc>
        <w:tc>
          <w:tcPr>
            <w:tcW w:w="1662" w:type="dxa"/>
            <w:tcBorders>
              <w:top w:val="nil"/>
              <w:left w:val="nil"/>
              <w:bottom w:val="nil"/>
              <w:right w:val="nil"/>
            </w:tcBorders>
            <w:tcMar>
              <w:top w:w="80" w:type="dxa"/>
              <w:left w:w="80" w:type="dxa"/>
              <w:bottom w:w="80" w:type="dxa"/>
              <w:right w:w="80" w:type="dxa"/>
            </w:tcMar>
            <w:vAlign w:val="center"/>
          </w:tcPr>
          <w:p w14:paraId="19746FA4" w14:textId="77777777" w:rsidR="00E63BBA" w:rsidRDefault="00000000">
            <w:pPr>
              <w:spacing w:line="240" w:lineRule="auto"/>
              <w:ind w:firstLine="0"/>
              <w:jc w:val="center"/>
            </w:pPr>
            <w:r>
              <w:rPr>
                <w:color w:val="000000"/>
                <w:sz w:val="20"/>
              </w:rPr>
              <w:t>德国</w:t>
            </w:r>
          </w:p>
        </w:tc>
        <w:tc>
          <w:tcPr>
            <w:tcW w:w="1662" w:type="dxa"/>
            <w:tcBorders>
              <w:top w:val="nil"/>
              <w:left w:val="nil"/>
              <w:bottom w:val="nil"/>
              <w:right w:val="nil"/>
            </w:tcBorders>
            <w:tcMar>
              <w:top w:w="80" w:type="dxa"/>
              <w:left w:w="80" w:type="dxa"/>
              <w:bottom w:w="80" w:type="dxa"/>
              <w:right w:w="80" w:type="dxa"/>
            </w:tcMar>
            <w:vAlign w:val="center"/>
          </w:tcPr>
          <w:p w14:paraId="22EBA898" w14:textId="77777777" w:rsidR="00E63BBA" w:rsidRDefault="00000000">
            <w:pPr>
              <w:spacing w:line="240" w:lineRule="auto"/>
              <w:ind w:firstLine="0"/>
              <w:jc w:val="center"/>
            </w:pPr>
            <w:r>
              <w:rPr>
                <w:color w:val="000000"/>
                <w:sz w:val="20"/>
              </w:rPr>
              <w:t>20</w:t>
            </w:r>
          </w:p>
        </w:tc>
        <w:tc>
          <w:tcPr>
            <w:tcW w:w="1662" w:type="dxa"/>
            <w:tcBorders>
              <w:top w:val="nil"/>
              <w:left w:val="nil"/>
              <w:bottom w:val="nil"/>
              <w:right w:val="nil"/>
            </w:tcBorders>
            <w:tcMar>
              <w:top w:w="80" w:type="dxa"/>
              <w:left w:w="80" w:type="dxa"/>
              <w:bottom w:w="80" w:type="dxa"/>
              <w:right w:w="80" w:type="dxa"/>
            </w:tcMar>
            <w:vAlign w:val="center"/>
          </w:tcPr>
          <w:p w14:paraId="45AF83AB" w14:textId="77777777" w:rsidR="00E63BBA" w:rsidRDefault="00000000">
            <w:pPr>
              <w:spacing w:line="240" w:lineRule="auto"/>
              <w:ind w:firstLine="0"/>
              <w:jc w:val="center"/>
              <w:rPr>
                <w:lang w:eastAsia="zh-CN"/>
              </w:rPr>
            </w:pPr>
            <w:r>
              <w:rPr>
                <w:color w:val="000000"/>
                <w:sz w:val="20"/>
                <w:lang w:eastAsia="zh-CN"/>
              </w:rPr>
              <w:t>瑞士、奥地利、德国南部</w:t>
            </w:r>
          </w:p>
        </w:tc>
        <w:tc>
          <w:tcPr>
            <w:tcW w:w="1662" w:type="dxa"/>
            <w:tcBorders>
              <w:top w:val="nil"/>
              <w:left w:val="nil"/>
              <w:bottom w:val="nil"/>
              <w:right w:val="nil"/>
            </w:tcBorders>
            <w:tcMar>
              <w:top w:w="80" w:type="dxa"/>
              <w:left w:w="80" w:type="dxa"/>
              <w:bottom w:w="80" w:type="dxa"/>
              <w:right w:w="80" w:type="dxa"/>
            </w:tcMar>
            <w:vAlign w:val="center"/>
          </w:tcPr>
          <w:p w14:paraId="795B16A7" w14:textId="77777777" w:rsidR="00E63BBA" w:rsidRDefault="00000000">
            <w:pPr>
              <w:spacing w:line="240" w:lineRule="auto"/>
              <w:ind w:firstLine="0"/>
              <w:jc w:val="center"/>
            </w:pPr>
            <w:r>
              <w:rPr>
                <w:color w:val="000000"/>
                <w:sz w:val="20"/>
              </w:rPr>
              <w:t>500</w:t>
            </w:r>
          </w:p>
        </w:tc>
      </w:tr>
      <w:tr w:rsidR="00E63BBA" w14:paraId="2318578E"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0C4BEBDE" w14:textId="77777777" w:rsidR="00E63BBA" w:rsidRDefault="00000000">
            <w:pPr>
              <w:spacing w:line="240" w:lineRule="auto"/>
              <w:ind w:firstLine="0"/>
              <w:jc w:val="center"/>
            </w:pPr>
            <w:r>
              <w:rPr>
                <w:color w:val="000000"/>
                <w:sz w:val="20"/>
              </w:rPr>
              <w:t>汉诺威</w:t>
            </w:r>
            <w:r>
              <w:rPr>
                <w:color w:val="000000"/>
                <w:sz w:val="20"/>
              </w:rPr>
              <w:t xml:space="preserve"> (Hannover)</w:t>
            </w:r>
          </w:p>
        </w:tc>
        <w:tc>
          <w:tcPr>
            <w:tcW w:w="1662" w:type="dxa"/>
            <w:tcBorders>
              <w:top w:val="nil"/>
              <w:left w:val="nil"/>
              <w:bottom w:val="nil"/>
              <w:right w:val="nil"/>
            </w:tcBorders>
            <w:tcMar>
              <w:top w:w="80" w:type="dxa"/>
              <w:left w:w="80" w:type="dxa"/>
              <w:bottom w:w="80" w:type="dxa"/>
              <w:right w:w="80" w:type="dxa"/>
            </w:tcMar>
            <w:vAlign w:val="center"/>
          </w:tcPr>
          <w:p w14:paraId="57A44F8E" w14:textId="77777777" w:rsidR="00E63BBA" w:rsidRDefault="00000000">
            <w:pPr>
              <w:spacing w:line="240" w:lineRule="auto"/>
              <w:ind w:firstLine="0"/>
              <w:jc w:val="center"/>
            </w:pPr>
            <w:r>
              <w:rPr>
                <w:color w:val="000000"/>
                <w:sz w:val="20"/>
              </w:rPr>
              <w:t>德国</w:t>
            </w:r>
          </w:p>
        </w:tc>
        <w:tc>
          <w:tcPr>
            <w:tcW w:w="1662" w:type="dxa"/>
            <w:tcBorders>
              <w:top w:val="nil"/>
              <w:left w:val="nil"/>
              <w:bottom w:val="nil"/>
              <w:right w:val="nil"/>
            </w:tcBorders>
            <w:tcMar>
              <w:top w:w="80" w:type="dxa"/>
              <w:left w:w="80" w:type="dxa"/>
              <w:bottom w:w="80" w:type="dxa"/>
              <w:right w:w="80" w:type="dxa"/>
            </w:tcMar>
            <w:vAlign w:val="center"/>
          </w:tcPr>
          <w:p w14:paraId="558CE55C" w14:textId="77777777" w:rsidR="00E63BBA" w:rsidRDefault="00000000">
            <w:pPr>
              <w:spacing w:line="240" w:lineRule="auto"/>
              <w:ind w:firstLine="0"/>
              <w:jc w:val="center"/>
            </w:pPr>
            <w:r>
              <w:rPr>
                <w:color w:val="000000"/>
                <w:sz w:val="20"/>
              </w:rPr>
              <w:t>15</w:t>
            </w:r>
          </w:p>
        </w:tc>
        <w:tc>
          <w:tcPr>
            <w:tcW w:w="1662" w:type="dxa"/>
            <w:tcBorders>
              <w:top w:val="nil"/>
              <w:left w:val="nil"/>
              <w:bottom w:val="nil"/>
              <w:right w:val="nil"/>
            </w:tcBorders>
            <w:tcMar>
              <w:top w:w="80" w:type="dxa"/>
              <w:left w:w="80" w:type="dxa"/>
              <w:bottom w:w="80" w:type="dxa"/>
              <w:right w:w="80" w:type="dxa"/>
            </w:tcMar>
            <w:vAlign w:val="center"/>
          </w:tcPr>
          <w:p w14:paraId="1947CE0B" w14:textId="77777777" w:rsidR="00E63BBA" w:rsidRDefault="00000000">
            <w:pPr>
              <w:spacing w:line="240" w:lineRule="auto"/>
              <w:ind w:firstLine="0"/>
              <w:jc w:val="center"/>
            </w:pPr>
            <w:r>
              <w:rPr>
                <w:color w:val="000000"/>
                <w:sz w:val="20"/>
              </w:rPr>
              <w:t>德国北部、丹麦</w:t>
            </w:r>
          </w:p>
        </w:tc>
        <w:tc>
          <w:tcPr>
            <w:tcW w:w="1662" w:type="dxa"/>
            <w:tcBorders>
              <w:top w:val="nil"/>
              <w:left w:val="nil"/>
              <w:bottom w:val="nil"/>
              <w:right w:val="nil"/>
            </w:tcBorders>
            <w:tcMar>
              <w:top w:w="80" w:type="dxa"/>
              <w:left w:w="80" w:type="dxa"/>
              <w:bottom w:w="80" w:type="dxa"/>
              <w:right w:w="80" w:type="dxa"/>
            </w:tcMar>
            <w:vAlign w:val="center"/>
          </w:tcPr>
          <w:p w14:paraId="72B84ABE" w14:textId="77777777" w:rsidR="00E63BBA" w:rsidRDefault="00000000">
            <w:pPr>
              <w:spacing w:line="240" w:lineRule="auto"/>
              <w:ind w:firstLine="0"/>
              <w:jc w:val="center"/>
            </w:pPr>
            <w:r>
              <w:rPr>
                <w:color w:val="000000"/>
                <w:sz w:val="20"/>
              </w:rPr>
              <w:t>499</w:t>
            </w:r>
          </w:p>
        </w:tc>
      </w:tr>
      <w:tr w:rsidR="00E63BBA" w14:paraId="7727D972"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77E3B83A" w14:textId="77777777" w:rsidR="00E63BBA" w:rsidRDefault="00000000">
            <w:pPr>
              <w:spacing w:line="240" w:lineRule="auto"/>
              <w:ind w:firstLine="0"/>
              <w:jc w:val="center"/>
            </w:pPr>
            <w:r>
              <w:rPr>
                <w:color w:val="000000"/>
                <w:sz w:val="20"/>
              </w:rPr>
              <w:t>安特卫普</w:t>
            </w:r>
            <w:r>
              <w:rPr>
                <w:color w:val="000000"/>
                <w:sz w:val="20"/>
              </w:rPr>
              <w:t xml:space="preserve"> (Antwerp)</w:t>
            </w:r>
          </w:p>
        </w:tc>
        <w:tc>
          <w:tcPr>
            <w:tcW w:w="1662" w:type="dxa"/>
            <w:tcBorders>
              <w:top w:val="nil"/>
              <w:left w:val="nil"/>
              <w:bottom w:val="nil"/>
              <w:right w:val="nil"/>
            </w:tcBorders>
            <w:tcMar>
              <w:top w:w="80" w:type="dxa"/>
              <w:left w:w="80" w:type="dxa"/>
              <w:bottom w:w="80" w:type="dxa"/>
              <w:right w:w="80" w:type="dxa"/>
            </w:tcMar>
            <w:vAlign w:val="center"/>
          </w:tcPr>
          <w:p w14:paraId="761F7A82" w14:textId="77777777" w:rsidR="00E63BBA" w:rsidRDefault="00000000">
            <w:pPr>
              <w:spacing w:line="240" w:lineRule="auto"/>
              <w:ind w:firstLine="0"/>
              <w:jc w:val="center"/>
            </w:pPr>
            <w:r>
              <w:rPr>
                <w:color w:val="000000"/>
                <w:sz w:val="20"/>
              </w:rPr>
              <w:t>比利时</w:t>
            </w:r>
          </w:p>
        </w:tc>
        <w:tc>
          <w:tcPr>
            <w:tcW w:w="1662" w:type="dxa"/>
            <w:tcBorders>
              <w:top w:val="nil"/>
              <w:left w:val="nil"/>
              <w:bottom w:val="nil"/>
              <w:right w:val="nil"/>
            </w:tcBorders>
            <w:tcMar>
              <w:top w:w="80" w:type="dxa"/>
              <w:left w:w="80" w:type="dxa"/>
              <w:bottom w:w="80" w:type="dxa"/>
              <w:right w:w="80" w:type="dxa"/>
            </w:tcMar>
            <w:vAlign w:val="center"/>
          </w:tcPr>
          <w:p w14:paraId="30ABCDBB" w14:textId="77777777" w:rsidR="00E63BBA" w:rsidRDefault="00000000">
            <w:pPr>
              <w:spacing w:line="240" w:lineRule="auto"/>
              <w:ind w:firstLine="0"/>
              <w:jc w:val="center"/>
            </w:pPr>
            <w:r>
              <w:rPr>
                <w:color w:val="000000"/>
                <w:sz w:val="20"/>
              </w:rPr>
              <w:t>12</w:t>
            </w:r>
          </w:p>
        </w:tc>
        <w:tc>
          <w:tcPr>
            <w:tcW w:w="1662" w:type="dxa"/>
            <w:tcBorders>
              <w:top w:val="nil"/>
              <w:left w:val="nil"/>
              <w:bottom w:val="nil"/>
              <w:right w:val="nil"/>
            </w:tcBorders>
            <w:tcMar>
              <w:top w:w="80" w:type="dxa"/>
              <w:left w:w="80" w:type="dxa"/>
              <w:bottom w:w="80" w:type="dxa"/>
              <w:right w:w="80" w:type="dxa"/>
            </w:tcMar>
            <w:vAlign w:val="center"/>
          </w:tcPr>
          <w:p w14:paraId="4A004631" w14:textId="77777777" w:rsidR="00E63BBA" w:rsidRDefault="00000000">
            <w:pPr>
              <w:spacing w:line="240" w:lineRule="auto"/>
              <w:ind w:firstLine="0"/>
              <w:jc w:val="center"/>
            </w:pPr>
            <w:r>
              <w:rPr>
                <w:color w:val="000000"/>
                <w:sz w:val="20"/>
              </w:rPr>
              <w:t>比荷卢地区</w:t>
            </w:r>
          </w:p>
        </w:tc>
        <w:tc>
          <w:tcPr>
            <w:tcW w:w="1662" w:type="dxa"/>
            <w:tcBorders>
              <w:top w:val="nil"/>
              <w:left w:val="nil"/>
              <w:bottom w:val="nil"/>
              <w:right w:val="nil"/>
            </w:tcBorders>
            <w:tcMar>
              <w:top w:w="80" w:type="dxa"/>
              <w:left w:w="80" w:type="dxa"/>
              <w:bottom w:w="80" w:type="dxa"/>
              <w:right w:w="80" w:type="dxa"/>
            </w:tcMar>
            <w:vAlign w:val="center"/>
          </w:tcPr>
          <w:p w14:paraId="079195AE" w14:textId="77777777" w:rsidR="00E63BBA" w:rsidRDefault="00000000">
            <w:pPr>
              <w:spacing w:line="240" w:lineRule="auto"/>
              <w:ind w:firstLine="0"/>
              <w:jc w:val="center"/>
            </w:pPr>
            <w:r>
              <w:rPr>
                <w:color w:val="000000"/>
                <w:sz w:val="20"/>
              </w:rPr>
              <w:t>249</w:t>
            </w:r>
          </w:p>
        </w:tc>
      </w:tr>
      <w:tr w:rsidR="00E63BBA" w14:paraId="00010B17" w14:textId="77777777">
        <w:trPr>
          <w:cantSplit/>
          <w:jc w:val="center"/>
        </w:trPr>
        <w:tc>
          <w:tcPr>
            <w:tcW w:w="1662" w:type="dxa"/>
            <w:tcBorders>
              <w:top w:val="nil"/>
              <w:left w:val="nil"/>
              <w:bottom w:val="nil"/>
              <w:right w:val="nil"/>
            </w:tcBorders>
            <w:tcMar>
              <w:top w:w="80" w:type="dxa"/>
              <w:left w:w="80" w:type="dxa"/>
              <w:bottom w:w="80" w:type="dxa"/>
              <w:right w:w="80" w:type="dxa"/>
            </w:tcMar>
            <w:vAlign w:val="center"/>
          </w:tcPr>
          <w:p w14:paraId="4ECDF52E" w14:textId="77777777" w:rsidR="00E63BBA" w:rsidRDefault="00000000">
            <w:pPr>
              <w:spacing w:line="240" w:lineRule="auto"/>
              <w:ind w:firstLine="0"/>
              <w:jc w:val="center"/>
            </w:pPr>
            <w:r>
              <w:rPr>
                <w:color w:val="000000"/>
                <w:sz w:val="20"/>
              </w:rPr>
              <w:t>米兰</w:t>
            </w:r>
            <w:r>
              <w:rPr>
                <w:color w:val="000000"/>
                <w:sz w:val="20"/>
              </w:rPr>
              <w:t xml:space="preserve"> (Milan)</w:t>
            </w:r>
          </w:p>
        </w:tc>
        <w:tc>
          <w:tcPr>
            <w:tcW w:w="1662" w:type="dxa"/>
            <w:tcBorders>
              <w:top w:val="nil"/>
              <w:left w:val="nil"/>
              <w:bottom w:val="nil"/>
              <w:right w:val="nil"/>
            </w:tcBorders>
            <w:tcMar>
              <w:top w:w="80" w:type="dxa"/>
              <w:left w:w="80" w:type="dxa"/>
              <w:bottom w:w="80" w:type="dxa"/>
              <w:right w:w="80" w:type="dxa"/>
            </w:tcMar>
            <w:vAlign w:val="center"/>
          </w:tcPr>
          <w:p w14:paraId="4E43CED6" w14:textId="77777777" w:rsidR="00E63BBA" w:rsidRDefault="00000000">
            <w:pPr>
              <w:spacing w:line="240" w:lineRule="auto"/>
              <w:ind w:firstLine="0"/>
              <w:jc w:val="center"/>
            </w:pPr>
            <w:r>
              <w:rPr>
                <w:color w:val="000000"/>
                <w:sz w:val="20"/>
              </w:rPr>
              <w:t>意大利</w:t>
            </w:r>
          </w:p>
        </w:tc>
        <w:tc>
          <w:tcPr>
            <w:tcW w:w="1662" w:type="dxa"/>
            <w:tcBorders>
              <w:top w:val="nil"/>
              <w:left w:val="nil"/>
              <w:bottom w:val="nil"/>
              <w:right w:val="nil"/>
            </w:tcBorders>
            <w:tcMar>
              <w:top w:w="80" w:type="dxa"/>
              <w:left w:w="80" w:type="dxa"/>
              <w:bottom w:w="80" w:type="dxa"/>
              <w:right w:w="80" w:type="dxa"/>
            </w:tcMar>
            <w:vAlign w:val="center"/>
          </w:tcPr>
          <w:p w14:paraId="1A62BB84" w14:textId="77777777" w:rsidR="00E63BBA" w:rsidRDefault="00000000">
            <w:pPr>
              <w:spacing w:line="240" w:lineRule="auto"/>
              <w:ind w:firstLine="0"/>
              <w:jc w:val="center"/>
            </w:pPr>
            <w:r>
              <w:rPr>
                <w:color w:val="000000"/>
                <w:sz w:val="20"/>
              </w:rPr>
              <w:t>32</w:t>
            </w:r>
          </w:p>
        </w:tc>
        <w:tc>
          <w:tcPr>
            <w:tcW w:w="1662" w:type="dxa"/>
            <w:tcBorders>
              <w:top w:val="nil"/>
              <w:left w:val="nil"/>
              <w:bottom w:val="nil"/>
              <w:right w:val="nil"/>
            </w:tcBorders>
            <w:tcMar>
              <w:top w:w="80" w:type="dxa"/>
              <w:left w:w="80" w:type="dxa"/>
              <w:bottom w:w="80" w:type="dxa"/>
              <w:right w:w="80" w:type="dxa"/>
            </w:tcMar>
            <w:vAlign w:val="center"/>
          </w:tcPr>
          <w:p w14:paraId="58C06D46" w14:textId="77777777" w:rsidR="00E63BBA" w:rsidRDefault="00000000">
            <w:pPr>
              <w:spacing w:line="240" w:lineRule="auto"/>
              <w:ind w:firstLine="0"/>
              <w:jc w:val="center"/>
            </w:pPr>
            <w:r>
              <w:rPr>
                <w:color w:val="000000"/>
                <w:sz w:val="20"/>
              </w:rPr>
              <w:t>意大利</w:t>
            </w:r>
          </w:p>
        </w:tc>
        <w:tc>
          <w:tcPr>
            <w:tcW w:w="1662" w:type="dxa"/>
            <w:tcBorders>
              <w:top w:val="nil"/>
              <w:left w:val="nil"/>
              <w:bottom w:val="nil"/>
              <w:right w:val="nil"/>
            </w:tcBorders>
            <w:tcMar>
              <w:top w:w="80" w:type="dxa"/>
              <w:left w:w="80" w:type="dxa"/>
              <w:bottom w:w="80" w:type="dxa"/>
              <w:right w:w="80" w:type="dxa"/>
            </w:tcMar>
            <w:vAlign w:val="center"/>
          </w:tcPr>
          <w:p w14:paraId="692D0AB7" w14:textId="77777777" w:rsidR="00E63BBA" w:rsidRDefault="00000000">
            <w:pPr>
              <w:spacing w:line="240" w:lineRule="auto"/>
              <w:ind w:firstLine="0"/>
              <w:jc w:val="center"/>
            </w:pPr>
            <w:r>
              <w:rPr>
                <w:color w:val="000000"/>
                <w:sz w:val="20"/>
              </w:rPr>
              <w:t>350</w:t>
            </w:r>
          </w:p>
        </w:tc>
      </w:tr>
      <w:tr w:rsidR="00E63BBA" w14:paraId="6B08956E" w14:textId="77777777">
        <w:trPr>
          <w:cantSplit/>
          <w:jc w:val="center"/>
        </w:trPr>
        <w:tc>
          <w:tcPr>
            <w:tcW w:w="1662" w:type="dxa"/>
            <w:tcBorders>
              <w:top w:val="nil"/>
              <w:left w:val="nil"/>
              <w:bottom w:val="single" w:sz="12" w:space="0" w:color="000000"/>
              <w:right w:val="nil"/>
            </w:tcBorders>
            <w:tcMar>
              <w:top w:w="80" w:type="dxa"/>
              <w:left w:w="80" w:type="dxa"/>
              <w:bottom w:w="80" w:type="dxa"/>
              <w:right w:w="80" w:type="dxa"/>
            </w:tcMar>
            <w:vAlign w:val="center"/>
          </w:tcPr>
          <w:p w14:paraId="43132774" w14:textId="77777777" w:rsidR="00E63BBA" w:rsidRDefault="00000000">
            <w:pPr>
              <w:spacing w:line="240" w:lineRule="auto"/>
              <w:ind w:firstLine="0"/>
              <w:jc w:val="center"/>
            </w:pPr>
            <w:r>
              <w:rPr>
                <w:color w:val="000000"/>
                <w:sz w:val="20"/>
              </w:rPr>
              <w:t>伦敦</w:t>
            </w:r>
            <w:r>
              <w:rPr>
                <w:color w:val="000000"/>
                <w:sz w:val="20"/>
              </w:rPr>
              <w:t xml:space="preserve"> (London)</w:t>
            </w:r>
          </w:p>
        </w:tc>
        <w:tc>
          <w:tcPr>
            <w:tcW w:w="1662" w:type="dxa"/>
            <w:tcBorders>
              <w:top w:val="nil"/>
              <w:left w:val="nil"/>
              <w:bottom w:val="single" w:sz="12" w:space="0" w:color="000000"/>
              <w:right w:val="nil"/>
            </w:tcBorders>
            <w:tcMar>
              <w:top w:w="80" w:type="dxa"/>
              <w:left w:w="80" w:type="dxa"/>
              <w:bottom w:w="80" w:type="dxa"/>
              <w:right w:w="80" w:type="dxa"/>
            </w:tcMar>
            <w:vAlign w:val="center"/>
          </w:tcPr>
          <w:p w14:paraId="50DD6C86" w14:textId="77777777" w:rsidR="00E63BBA" w:rsidRDefault="00000000">
            <w:pPr>
              <w:spacing w:line="240" w:lineRule="auto"/>
              <w:ind w:firstLine="0"/>
              <w:jc w:val="center"/>
            </w:pPr>
            <w:r>
              <w:rPr>
                <w:color w:val="000000"/>
                <w:sz w:val="20"/>
              </w:rPr>
              <w:t>英国</w:t>
            </w:r>
          </w:p>
        </w:tc>
        <w:tc>
          <w:tcPr>
            <w:tcW w:w="1662" w:type="dxa"/>
            <w:tcBorders>
              <w:top w:val="nil"/>
              <w:left w:val="nil"/>
              <w:bottom w:val="single" w:sz="12" w:space="0" w:color="000000"/>
              <w:right w:val="nil"/>
            </w:tcBorders>
            <w:tcMar>
              <w:top w:w="80" w:type="dxa"/>
              <w:left w:w="80" w:type="dxa"/>
              <w:bottom w:w="80" w:type="dxa"/>
              <w:right w:w="80" w:type="dxa"/>
            </w:tcMar>
            <w:vAlign w:val="center"/>
          </w:tcPr>
          <w:p w14:paraId="59994125" w14:textId="77777777" w:rsidR="00E63BBA" w:rsidRDefault="00000000">
            <w:pPr>
              <w:spacing w:line="240" w:lineRule="auto"/>
              <w:ind w:firstLine="0"/>
              <w:jc w:val="center"/>
            </w:pPr>
            <w:r>
              <w:rPr>
                <w:color w:val="000000"/>
                <w:sz w:val="20"/>
              </w:rPr>
              <w:t>5</w:t>
            </w:r>
          </w:p>
        </w:tc>
        <w:tc>
          <w:tcPr>
            <w:tcW w:w="1662" w:type="dxa"/>
            <w:tcBorders>
              <w:top w:val="nil"/>
              <w:left w:val="nil"/>
              <w:bottom w:val="single" w:sz="12" w:space="0" w:color="000000"/>
              <w:right w:val="nil"/>
            </w:tcBorders>
            <w:tcMar>
              <w:top w:w="80" w:type="dxa"/>
              <w:left w:w="80" w:type="dxa"/>
              <w:bottom w:w="80" w:type="dxa"/>
              <w:right w:w="80" w:type="dxa"/>
            </w:tcMar>
            <w:vAlign w:val="center"/>
          </w:tcPr>
          <w:p w14:paraId="67651AEE" w14:textId="77777777" w:rsidR="00E63BBA" w:rsidRDefault="00000000">
            <w:pPr>
              <w:spacing w:line="240" w:lineRule="auto"/>
              <w:ind w:firstLine="0"/>
              <w:jc w:val="center"/>
            </w:pPr>
            <w:r>
              <w:rPr>
                <w:color w:val="000000"/>
                <w:sz w:val="20"/>
              </w:rPr>
              <w:t>英国及爱尔兰</w:t>
            </w:r>
          </w:p>
        </w:tc>
        <w:tc>
          <w:tcPr>
            <w:tcW w:w="1662" w:type="dxa"/>
            <w:tcBorders>
              <w:top w:val="nil"/>
              <w:left w:val="nil"/>
              <w:bottom w:val="single" w:sz="12" w:space="0" w:color="000000"/>
              <w:right w:val="nil"/>
            </w:tcBorders>
            <w:tcMar>
              <w:top w:w="80" w:type="dxa"/>
              <w:left w:w="80" w:type="dxa"/>
              <w:bottom w:w="80" w:type="dxa"/>
              <w:right w:w="80" w:type="dxa"/>
            </w:tcMar>
            <w:vAlign w:val="center"/>
          </w:tcPr>
          <w:p w14:paraId="2CC70B48" w14:textId="77777777" w:rsidR="00E63BBA" w:rsidRDefault="00000000">
            <w:pPr>
              <w:spacing w:line="240" w:lineRule="auto"/>
              <w:ind w:firstLine="0"/>
              <w:jc w:val="center"/>
            </w:pPr>
            <w:r>
              <w:rPr>
                <w:color w:val="000000"/>
                <w:sz w:val="20"/>
              </w:rPr>
              <w:t>700</w:t>
            </w:r>
          </w:p>
        </w:tc>
      </w:tr>
    </w:tbl>
    <w:p w14:paraId="435999B7" w14:textId="77777777" w:rsidR="00E63BBA" w:rsidRDefault="00000000">
      <w:pPr>
        <w:ind w:firstLine="0"/>
        <w:jc w:val="center"/>
        <w:rPr>
          <w:lang w:eastAsia="zh-CN"/>
        </w:rPr>
      </w:pPr>
      <w:r>
        <w:rPr>
          <w:sz w:val="18"/>
          <w:lang w:eastAsia="zh-CN"/>
        </w:rPr>
        <w:t>表</w:t>
      </w:r>
      <w:r>
        <w:rPr>
          <w:sz w:val="18"/>
          <w:lang w:eastAsia="zh-CN"/>
        </w:rPr>
        <w:t xml:space="preserve">1  </w:t>
      </w:r>
      <w:r>
        <w:rPr>
          <w:sz w:val="18"/>
          <w:lang w:eastAsia="zh-CN"/>
        </w:rPr>
        <w:t>现有配送中心及周吞吐量</w:t>
      </w:r>
    </w:p>
    <w:p w14:paraId="5F6AEBF4" w14:textId="77777777" w:rsidR="00E63BBA" w:rsidRDefault="00000000">
      <w:pPr>
        <w:pStyle w:val="21"/>
        <w:rPr>
          <w:lang w:eastAsia="zh-CN"/>
        </w:rPr>
      </w:pPr>
      <w:r>
        <w:rPr>
          <w:lang w:eastAsia="zh-CN"/>
        </w:rPr>
        <w:lastRenderedPageBreak/>
        <w:t xml:space="preserve">2.2  </w:t>
      </w:r>
      <w:r>
        <w:rPr>
          <w:lang w:eastAsia="zh-CN"/>
        </w:rPr>
        <w:t>运输模式</w:t>
      </w:r>
    </w:p>
    <w:p w14:paraId="23EACDC1" w14:textId="77777777" w:rsidR="00E63BBA" w:rsidRDefault="00000000">
      <w:pPr>
        <w:rPr>
          <w:lang w:eastAsia="zh-CN"/>
        </w:rPr>
      </w:pPr>
      <w:r>
        <w:rPr>
          <w:lang w:eastAsia="zh-CN"/>
        </w:rPr>
        <w:t>当前所有</w:t>
      </w:r>
      <w:r>
        <w:rPr>
          <w:lang w:eastAsia="zh-CN"/>
        </w:rPr>
        <w:t>DC</w:t>
      </w:r>
      <w:r>
        <w:rPr>
          <w:lang w:eastAsia="zh-CN"/>
        </w:rPr>
        <w:t>均采用公路干线运输，每车平均载重</w:t>
      </w:r>
      <w:r>
        <w:rPr>
          <w:lang w:eastAsia="zh-CN"/>
        </w:rPr>
        <w:t>30</w:t>
      </w:r>
      <w:r>
        <w:rPr>
          <w:lang w:eastAsia="zh-CN"/>
        </w:rPr>
        <w:t>吨，运输时间约</w:t>
      </w:r>
      <w:r>
        <w:rPr>
          <w:lang w:eastAsia="zh-CN"/>
        </w:rPr>
        <w:t>3</w:t>
      </w:r>
      <w:r>
        <w:rPr>
          <w:lang w:eastAsia="zh-CN"/>
        </w:rPr>
        <w:t>天。除公路外，案例提供了两种备选运输方式。铁路运输分为整车（每列</w:t>
      </w:r>
      <w:r>
        <w:rPr>
          <w:lang w:eastAsia="zh-CN"/>
        </w:rPr>
        <w:t>2,000</w:t>
      </w:r>
      <w:r>
        <w:rPr>
          <w:lang w:eastAsia="zh-CN"/>
        </w:rPr>
        <w:t>吨，</w:t>
      </w:r>
      <w:r>
        <w:rPr>
          <w:lang w:eastAsia="zh-CN"/>
        </w:rPr>
        <w:t>$2,500/</w:t>
      </w:r>
      <w:r>
        <w:rPr>
          <w:lang w:eastAsia="zh-CN"/>
        </w:rPr>
        <w:t>列</w:t>
      </w:r>
      <w:r>
        <w:rPr>
          <w:lang w:eastAsia="zh-CN"/>
        </w:rPr>
        <w:t>+$0.009/</w:t>
      </w:r>
      <w:r>
        <w:rPr>
          <w:lang w:eastAsia="zh-CN"/>
        </w:rPr>
        <w:t>吨</w:t>
      </w:r>
      <w:r>
        <w:rPr>
          <w:lang w:eastAsia="zh-CN"/>
        </w:rPr>
        <w:t>/</w:t>
      </w:r>
      <w:r>
        <w:rPr>
          <w:lang w:eastAsia="zh-CN"/>
        </w:rPr>
        <w:t>公里，</w:t>
      </w:r>
      <w:r>
        <w:rPr>
          <w:lang w:eastAsia="zh-CN"/>
        </w:rPr>
        <w:t>3</w:t>
      </w:r>
      <w:r>
        <w:rPr>
          <w:lang w:eastAsia="zh-CN"/>
        </w:rPr>
        <w:t>天）和零散车皮（每车</w:t>
      </w:r>
      <w:r>
        <w:rPr>
          <w:lang w:eastAsia="zh-CN"/>
        </w:rPr>
        <w:t>50</w:t>
      </w:r>
      <w:r>
        <w:rPr>
          <w:lang w:eastAsia="zh-CN"/>
        </w:rPr>
        <w:t>吨，</w:t>
      </w:r>
      <w:r>
        <w:rPr>
          <w:lang w:eastAsia="zh-CN"/>
        </w:rPr>
        <w:t>$50/</w:t>
      </w:r>
      <w:r>
        <w:rPr>
          <w:lang w:eastAsia="zh-CN"/>
        </w:rPr>
        <w:t>车</w:t>
      </w:r>
      <w:r>
        <w:rPr>
          <w:lang w:eastAsia="zh-CN"/>
        </w:rPr>
        <w:t>+$0.45/</w:t>
      </w:r>
      <w:r>
        <w:rPr>
          <w:lang w:eastAsia="zh-CN"/>
        </w:rPr>
        <w:t>公里，</w:t>
      </w:r>
      <w:r>
        <w:rPr>
          <w:lang w:eastAsia="zh-CN"/>
        </w:rPr>
        <w:t>2-4</w:t>
      </w:r>
      <w:r>
        <w:rPr>
          <w:lang w:eastAsia="zh-CN"/>
        </w:rPr>
        <w:t>周）。海运可利用现有里斯本港口，小型船舶（容量</w:t>
      </w:r>
      <w:r>
        <w:rPr>
          <w:lang w:eastAsia="zh-CN"/>
        </w:rPr>
        <w:t>3,000</w:t>
      </w:r>
      <w:r>
        <w:rPr>
          <w:lang w:eastAsia="zh-CN"/>
        </w:rPr>
        <w:t>吨）可至安特卫普或鹿特丹，费用</w:t>
      </w:r>
      <w:r>
        <w:rPr>
          <w:lang w:eastAsia="zh-CN"/>
        </w:rPr>
        <w:t>$4/</w:t>
      </w:r>
      <w:r>
        <w:rPr>
          <w:lang w:eastAsia="zh-CN"/>
        </w:rPr>
        <w:t>吨，运输加装卸共计</w:t>
      </w:r>
      <w:r>
        <w:rPr>
          <w:lang w:eastAsia="zh-CN"/>
        </w:rPr>
        <w:t>6</w:t>
      </w:r>
      <w:r>
        <w:rPr>
          <w:lang w:eastAsia="zh-CN"/>
        </w:rPr>
        <w:t>天。不同运输模式在成本、时效和可靠性之间存在显著权衡。</w:t>
      </w:r>
    </w:p>
    <w:p w14:paraId="70553D4F" w14:textId="4545A5CE" w:rsidR="00B75ADE" w:rsidRPr="00B75ADE" w:rsidRDefault="00B75ADE">
      <w:pPr>
        <w:rPr>
          <w:lang w:eastAsia="zh-CN"/>
        </w:rPr>
      </w:pPr>
      <w:r>
        <w:rPr>
          <w:rFonts w:hint="eastAsia"/>
          <w:noProof/>
          <w:lang w:eastAsia="zh-CN"/>
        </w:rPr>
        <w:drawing>
          <wp:inline distT="0" distB="0" distL="0" distR="0" wp14:anchorId="1BF6AC4D" wp14:editId="5F16E1ED">
            <wp:extent cx="5278120" cy="4717415"/>
            <wp:effectExtent l="0" t="0" r="0" b="6985"/>
            <wp:docPr id="10001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434" name="图片 100010434"/>
                    <pic:cNvPicPr/>
                  </pic:nvPicPr>
                  <pic:blipFill>
                    <a:blip r:embed="rId6"/>
                    <a:stretch>
                      <a:fillRect/>
                    </a:stretch>
                  </pic:blipFill>
                  <pic:spPr>
                    <a:xfrm>
                      <a:off x="0" y="0"/>
                      <a:ext cx="5278120" cy="4717415"/>
                    </a:xfrm>
                    <a:prstGeom prst="rect">
                      <a:avLst/>
                    </a:prstGeom>
                  </pic:spPr>
                </pic:pic>
              </a:graphicData>
            </a:graphic>
          </wp:inline>
        </w:drawing>
      </w:r>
    </w:p>
    <w:p w14:paraId="01E41DFD" w14:textId="77777777" w:rsidR="00E63BBA" w:rsidRDefault="00000000">
      <w:pPr>
        <w:spacing w:before="240" w:after="80"/>
        <w:ind w:firstLine="0"/>
        <w:jc w:val="center"/>
        <w:rPr>
          <w:lang w:eastAsia="zh-CN"/>
        </w:rPr>
      </w:pPr>
      <w:r>
        <w:rPr>
          <w:b/>
          <w:sz w:val="20"/>
          <w:lang w:eastAsia="zh-CN"/>
        </w:rPr>
        <w:t>【图</w:t>
      </w:r>
      <w:r>
        <w:rPr>
          <w:b/>
          <w:sz w:val="20"/>
          <w:lang w:eastAsia="zh-CN"/>
        </w:rPr>
        <w:t>1</w:t>
      </w:r>
      <w:r>
        <w:rPr>
          <w:b/>
          <w:sz w:val="20"/>
          <w:lang w:eastAsia="zh-CN"/>
        </w:rPr>
        <w:t>：</w:t>
      </w:r>
      <w:r>
        <w:rPr>
          <w:b/>
          <w:sz w:val="20"/>
          <w:lang w:eastAsia="zh-CN"/>
        </w:rPr>
        <w:t>PPP</w:t>
      </w:r>
      <w:r>
        <w:rPr>
          <w:b/>
          <w:sz w:val="20"/>
          <w:lang w:eastAsia="zh-CN"/>
        </w:rPr>
        <w:t>当前配送网络示意图】</w:t>
      </w:r>
    </w:p>
    <w:p w14:paraId="078A1E91" w14:textId="77777777" w:rsidR="00E63BBA" w:rsidRDefault="00000000">
      <w:pPr>
        <w:pStyle w:val="1"/>
        <w:rPr>
          <w:lang w:eastAsia="zh-CN"/>
        </w:rPr>
      </w:pPr>
      <w:r>
        <w:rPr>
          <w:lang w:eastAsia="zh-CN"/>
        </w:rPr>
        <w:t xml:space="preserve">3  </w:t>
      </w:r>
      <w:r>
        <w:rPr>
          <w:lang w:eastAsia="zh-CN"/>
        </w:rPr>
        <w:t>成本分析方法</w:t>
      </w:r>
    </w:p>
    <w:p w14:paraId="58C35426" w14:textId="77777777" w:rsidR="00E63BBA" w:rsidRDefault="00000000">
      <w:pPr>
        <w:rPr>
          <w:lang w:eastAsia="zh-CN"/>
        </w:rPr>
      </w:pPr>
      <w:r>
        <w:rPr>
          <w:lang w:eastAsia="zh-CN"/>
        </w:rPr>
        <w:t>配送网络总成本由四个部分构成。以下逐一说明计算方法，完整公式见</w:t>
      </w:r>
      <w:r>
        <w:rPr>
          <w:lang w:eastAsia="zh-CN"/>
        </w:rPr>
        <w:t>Excel</w:t>
      </w:r>
      <w:r>
        <w:rPr>
          <w:lang w:eastAsia="zh-CN"/>
        </w:rPr>
        <w:t>模型。</w:t>
      </w:r>
    </w:p>
    <w:p w14:paraId="58802DD7" w14:textId="77777777" w:rsidR="00E63BBA" w:rsidRDefault="00000000">
      <w:pPr>
        <w:pStyle w:val="21"/>
        <w:rPr>
          <w:lang w:eastAsia="zh-CN"/>
        </w:rPr>
      </w:pPr>
      <w:r>
        <w:rPr>
          <w:lang w:eastAsia="zh-CN"/>
        </w:rPr>
        <w:lastRenderedPageBreak/>
        <w:t xml:space="preserve">3.1  </w:t>
      </w:r>
      <w:r>
        <w:rPr>
          <w:lang w:eastAsia="zh-CN"/>
        </w:rPr>
        <w:t>干线运输成本</w:t>
      </w:r>
    </w:p>
    <w:p w14:paraId="486B6A7F" w14:textId="77777777" w:rsidR="00E63BBA" w:rsidRDefault="00000000">
      <w:pPr>
        <w:ind w:firstLine="0"/>
        <w:rPr>
          <w:lang w:eastAsia="zh-CN"/>
        </w:rPr>
      </w:pPr>
      <w:r>
        <w:rPr>
          <w:lang w:eastAsia="zh-CN"/>
        </w:rPr>
        <w:t>干线运输指里斯本工厂至各</w:t>
      </w:r>
      <w:r>
        <w:rPr>
          <w:lang w:eastAsia="zh-CN"/>
        </w:rPr>
        <w:t>DC</w:t>
      </w:r>
      <w:r>
        <w:rPr>
          <w:lang w:eastAsia="zh-CN"/>
        </w:rPr>
        <w:t>的批量运输，采用两部制计费：</w:t>
      </w:r>
    </w:p>
    <w:p w14:paraId="5BE1585C" w14:textId="691C599C" w:rsidR="00E63BBA" w:rsidRDefault="00CA516C" w:rsidP="00CA516C">
      <w:pPr>
        <w:pStyle w:val="MTDisplayEquation"/>
      </w:pPr>
      <w:r w:rsidRPr="00CA516C">
        <w:rPr>
          <w:position w:val="-16"/>
        </w:rPr>
        <w:object w:dxaOrig="5120" w:dyaOrig="440" w14:anchorId="1BA06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55.9pt;height:21.9pt" o:ole="">
            <v:imagedata r:id="rId7" o:title=""/>
          </v:shape>
          <o:OLEObject Type="Embed" ProgID="Equation.DSMT4" ShapeID="_x0000_i1032" DrawAspect="Content" ObjectID="_1842285166" r:id="rId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w:instrText>
        </w:r>
      </w:fldSimple>
      <w:r>
        <w:instrText>)</w:instrText>
      </w:r>
      <w:r>
        <w:fldChar w:fldCharType="end"/>
      </w:r>
    </w:p>
    <w:p w14:paraId="6F07B389" w14:textId="77777777" w:rsidR="00E63BBA" w:rsidRDefault="00000000">
      <w:r>
        <w:t>其中</w:t>
      </w:r>
      <w:r>
        <w:t>Throughput_i</w:t>
      </w:r>
      <w:r>
        <w:t>为</w:t>
      </w:r>
      <w:r>
        <w:t>DC_i</w:t>
      </w:r>
      <w:r>
        <w:t>的周吞吐量（吨），</w:t>
      </w:r>
      <w:r>
        <w:t>Distance_i</w:t>
      </w:r>
      <w:r>
        <w:t>为里斯本至</w:t>
      </w:r>
      <w:r>
        <w:t>DC_i</w:t>
      </w:r>
      <w:r>
        <w:t>的公路距离（公里）。固定部分</w:t>
      </w:r>
      <w:r>
        <w:t>4.00</w:t>
      </w:r>
      <w:r>
        <w:t>美元</w:t>
      </w:r>
      <w:r>
        <w:t>/</w:t>
      </w:r>
      <w:r>
        <w:t>吨覆盖装货管理，变动部分</w:t>
      </w:r>
      <w:r>
        <w:t>0.03</w:t>
      </w:r>
      <w:r>
        <w:t>美元</w:t>
      </w:r>
      <w:r>
        <w:t>/</w:t>
      </w:r>
      <w:r>
        <w:t>吨</w:t>
      </w:r>
      <w:r>
        <w:t>/</w:t>
      </w:r>
      <w:r>
        <w:t>公里覆盖燃油与折旧。</w:t>
      </w:r>
    </w:p>
    <w:p w14:paraId="157F811D" w14:textId="77777777" w:rsidR="00E63BBA" w:rsidRDefault="00000000">
      <w:pPr>
        <w:pStyle w:val="21"/>
        <w:rPr>
          <w:lang w:eastAsia="zh-CN"/>
        </w:rPr>
      </w:pPr>
      <w:r>
        <w:rPr>
          <w:lang w:eastAsia="zh-CN"/>
        </w:rPr>
        <w:t xml:space="preserve">3.2  </w:t>
      </w:r>
      <w:r>
        <w:rPr>
          <w:lang w:eastAsia="zh-CN"/>
        </w:rPr>
        <w:t>本地配送成本</w:t>
      </w:r>
    </w:p>
    <w:p w14:paraId="5788F034" w14:textId="77777777" w:rsidR="00E63BBA" w:rsidRDefault="00000000">
      <w:pPr>
        <w:ind w:firstLine="0"/>
        <w:rPr>
          <w:lang w:eastAsia="zh-CN"/>
        </w:rPr>
      </w:pPr>
      <w:r>
        <w:rPr>
          <w:lang w:eastAsia="zh-CN"/>
        </w:rPr>
        <w:t>本地配送指各</w:t>
      </w:r>
      <w:r>
        <w:rPr>
          <w:lang w:eastAsia="zh-CN"/>
        </w:rPr>
        <w:t>DC</w:t>
      </w:r>
      <w:r>
        <w:rPr>
          <w:lang w:eastAsia="zh-CN"/>
        </w:rPr>
        <w:t>至其服务客户的末端运输，同样采用两部制：</w:t>
      </w:r>
    </w:p>
    <w:p w14:paraId="3B73DD59" w14:textId="6CA39933" w:rsidR="00E63BBA" w:rsidRDefault="00CA516C" w:rsidP="00CA516C">
      <w:pPr>
        <w:pStyle w:val="MTDisplayEquation"/>
      </w:pPr>
      <w:r w:rsidRPr="00CA516C">
        <w:rPr>
          <w:position w:val="-18"/>
        </w:rPr>
        <w:object w:dxaOrig="5179" w:dyaOrig="480" w14:anchorId="7971A5CB">
          <v:shape id="_x0000_i1044" type="#_x0000_t75" style="width:259.05pt;height:23.85pt" o:ole="">
            <v:imagedata r:id="rId9" o:title=""/>
          </v:shape>
          <o:OLEObject Type="Embed" ProgID="Equation.DSMT4" ShapeID="_x0000_i1044" DrawAspect="Content" ObjectID="_1842285167"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2</w:instrText>
        </w:r>
      </w:fldSimple>
      <w:r>
        <w:instrText>)</w:instrText>
      </w:r>
      <w:r>
        <w:fldChar w:fldCharType="end"/>
      </w:r>
    </w:p>
    <w:p w14:paraId="66FF6CBB" w14:textId="77777777" w:rsidR="00E63BBA" w:rsidRDefault="00000000">
      <w:r>
        <w:t>其中</w:t>
      </w:r>
      <w:r>
        <w:t>Demand_ij</w:t>
      </w:r>
      <w:r>
        <w:t>为客户</w:t>
      </w:r>
      <w:r>
        <w:t>j</w:t>
      </w:r>
      <w:r>
        <w:t>对</w:t>
      </w:r>
      <w:r>
        <w:t>DC_i</w:t>
      </w:r>
      <w:r>
        <w:t>的周需求量，</w:t>
      </w:r>
      <w:r>
        <w:t>Distance_ij</w:t>
      </w:r>
      <w:r>
        <w:t>为</w:t>
      </w:r>
      <w:r>
        <w:t>DC_i</w:t>
      </w:r>
      <w:r>
        <w:t>至客户</w:t>
      </w:r>
      <w:r>
        <w:t>j</w:t>
      </w:r>
      <w:r>
        <w:t>的距离。单位费率高于干线运输，反映小批量、高频次的配送特征。</w:t>
      </w:r>
    </w:p>
    <w:p w14:paraId="6FFB341F" w14:textId="77777777" w:rsidR="00E63BBA" w:rsidRDefault="00000000">
      <w:pPr>
        <w:pStyle w:val="21"/>
        <w:rPr>
          <w:lang w:eastAsia="zh-CN"/>
        </w:rPr>
      </w:pPr>
      <w:r>
        <w:rPr>
          <w:lang w:eastAsia="zh-CN"/>
        </w:rPr>
        <w:t xml:space="preserve">3.3  </w:t>
      </w:r>
      <w:r>
        <w:rPr>
          <w:lang w:eastAsia="zh-CN"/>
        </w:rPr>
        <w:t>库存持有成本</w:t>
      </w:r>
    </w:p>
    <w:p w14:paraId="130B8293" w14:textId="77777777" w:rsidR="00E63BBA" w:rsidRDefault="00000000">
      <w:pPr>
        <w:ind w:firstLine="0"/>
        <w:rPr>
          <w:lang w:eastAsia="zh-CN"/>
        </w:rPr>
      </w:pPr>
      <w:r>
        <w:rPr>
          <w:lang w:eastAsia="zh-CN"/>
        </w:rPr>
        <w:t>为维持服务水平，各</w:t>
      </w:r>
      <w:r>
        <w:rPr>
          <w:lang w:eastAsia="zh-CN"/>
        </w:rPr>
        <w:t>DC</w:t>
      </w:r>
      <w:r>
        <w:rPr>
          <w:lang w:eastAsia="zh-CN"/>
        </w:rPr>
        <w:t>需保有一定安全库存，库存量与干线运输时间成正比。计算公式如下：</w:t>
      </w:r>
    </w:p>
    <w:p w14:paraId="3B9CF7E0" w14:textId="089CCD00" w:rsidR="00E63BBA" w:rsidRDefault="00CA516C" w:rsidP="00CA516C">
      <w:pPr>
        <w:pStyle w:val="MTDisplayEquation"/>
        <w:rPr>
          <w:lang w:eastAsia="zh-CN"/>
        </w:rPr>
      </w:pPr>
      <w:r w:rsidRPr="00CA516C">
        <w:rPr>
          <w:position w:val="-28"/>
        </w:rPr>
        <w:object w:dxaOrig="3700" w:dyaOrig="680" w14:anchorId="4393685B">
          <v:shape id="_x0000_i1040" type="#_x0000_t75" style="width:185.1pt;height:34.05pt" o:ole="">
            <v:imagedata r:id="rId11" o:title=""/>
          </v:shape>
          <o:OLEObject Type="Embed" ProgID="Equation.DSMT4" ShapeID="_x0000_i1040" DrawAspect="Content" ObjectID="_1842285168" r:id="rId12"/>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3</w:instrText>
        </w:r>
      </w:fldSimple>
      <w:r>
        <w:instrText>)</w:instrText>
      </w:r>
      <w:r>
        <w:fldChar w:fldCharType="end"/>
      </w:r>
    </w:p>
    <w:p w14:paraId="0FDE283E" w14:textId="77777777" w:rsidR="00E63BBA" w:rsidRDefault="00000000">
      <w:pPr>
        <w:rPr>
          <w:lang w:eastAsia="zh-CN"/>
        </w:rPr>
      </w:pPr>
      <w:r>
        <w:rPr>
          <w:lang w:eastAsia="zh-CN"/>
        </w:rPr>
        <w:t>产品价值</w:t>
      </w:r>
      <w:r>
        <w:rPr>
          <w:lang w:eastAsia="zh-CN"/>
        </w:rPr>
        <w:t>600</w:t>
      </w:r>
      <w:r>
        <w:rPr>
          <w:lang w:eastAsia="zh-CN"/>
        </w:rPr>
        <w:t>美元</w:t>
      </w:r>
      <w:r>
        <w:rPr>
          <w:lang w:eastAsia="zh-CN"/>
        </w:rPr>
        <w:t>/</w:t>
      </w:r>
      <w:r>
        <w:rPr>
          <w:lang w:eastAsia="zh-CN"/>
        </w:rPr>
        <w:t>吨，年持有成本率</w:t>
      </w:r>
      <w:r>
        <w:rPr>
          <w:lang w:eastAsia="zh-CN"/>
        </w:rPr>
        <w:t>20%</w:t>
      </w:r>
      <w:r>
        <w:rPr>
          <w:lang w:eastAsia="zh-CN"/>
        </w:rPr>
        <w:t>。</w:t>
      </w:r>
      <w:r>
        <w:rPr>
          <w:lang w:eastAsia="zh-CN"/>
        </w:rPr>
        <w:t>3/7</w:t>
      </w:r>
      <w:r>
        <w:rPr>
          <w:lang w:eastAsia="zh-CN"/>
        </w:rPr>
        <w:t>为干线运输时间（</w:t>
      </w:r>
      <w:r>
        <w:rPr>
          <w:lang w:eastAsia="zh-CN"/>
        </w:rPr>
        <w:t>3</w:t>
      </w:r>
      <w:r>
        <w:rPr>
          <w:lang w:eastAsia="zh-CN"/>
        </w:rPr>
        <w:t>天折算为周数）。折合每吨每周库存成本约</w:t>
      </w:r>
      <w:r>
        <w:rPr>
          <w:lang w:eastAsia="zh-CN"/>
        </w:rPr>
        <w:t>0.989</w:t>
      </w:r>
      <w:r>
        <w:rPr>
          <w:lang w:eastAsia="zh-CN"/>
        </w:rPr>
        <w:t>美元。</w:t>
      </w:r>
    </w:p>
    <w:p w14:paraId="58BA7A29" w14:textId="77777777" w:rsidR="00E63BBA" w:rsidRDefault="00000000">
      <w:pPr>
        <w:pStyle w:val="21"/>
        <w:rPr>
          <w:lang w:eastAsia="zh-CN"/>
        </w:rPr>
      </w:pPr>
      <w:r>
        <w:rPr>
          <w:lang w:eastAsia="zh-CN"/>
        </w:rPr>
        <w:t xml:space="preserve">3.4  </w:t>
      </w:r>
      <w:r>
        <w:rPr>
          <w:lang w:eastAsia="zh-CN"/>
        </w:rPr>
        <w:t>仓库运营成本</w:t>
      </w:r>
    </w:p>
    <w:p w14:paraId="04ED541C" w14:textId="77777777" w:rsidR="00E63BBA" w:rsidRDefault="00000000">
      <w:pPr>
        <w:ind w:firstLine="0"/>
        <w:rPr>
          <w:lang w:eastAsia="zh-CN"/>
        </w:rPr>
      </w:pPr>
      <w:r>
        <w:rPr>
          <w:lang w:eastAsia="zh-CN"/>
        </w:rPr>
        <w:t>DC</w:t>
      </w:r>
      <w:r>
        <w:rPr>
          <w:lang w:eastAsia="zh-CN"/>
        </w:rPr>
        <w:t>运营成本含固定与变动两部分：</w:t>
      </w:r>
    </w:p>
    <w:bookmarkStart w:id="0" w:name="MTBlankEqn"/>
    <w:p w14:paraId="1FC06827" w14:textId="1F07AE8B" w:rsidR="00E63BBA" w:rsidRDefault="00CA516C" w:rsidP="00CA516C">
      <w:pPr>
        <w:pStyle w:val="MTDisplayEquation"/>
      </w:pPr>
      <w:r w:rsidRPr="00CA516C">
        <w:rPr>
          <w:position w:val="-14"/>
        </w:rPr>
        <w:object w:dxaOrig="3180" w:dyaOrig="380" w14:anchorId="3075A43A">
          <v:shape id="_x0000_i1036" type="#_x0000_t75" style="width:158.85pt;height:19.15pt" o:ole="">
            <v:imagedata r:id="rId13" o:title=""/>
          </v:shape>
          <o:OLEObject Type="Embed" ProgID="Equation.DSMT4" ShapeID="_x0000_i1036" DrawAspect="Content" ObjectID="_1842285169" r:id="rId14"/>
        </w:object>
      </w:r>
      <w:bookmarkEnd w:id="0"/>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w:instrText>
        </w:r>
      </w:fldSimple>
      <w:r>
        <w:instrText>)</w:instrText>
      </w:r>
      <w:r>
        <w:fldChar w:fldCharType="end"/>
      </w:r>
    </w:p>
    <w:p w14:paraId="33685990" w14:textId="77777777" w:rsidR="00E63BBA" w:rsidRDefault="00000000">
      <w:pPr>
        <w:rPr>
          <w:lang w:eastAsia="zh-CN"/>
        </w:rPr>
      </w:pPr>
      <w:r>
        <w:rPr>
          <w:lang w:eastAsia="zh-CN"/>
        </w:rPr>
        <w:t>固定成本</w:t>
      </w:r>
      <w:r>
        <w:rPr>
          <w:lang w:eastAsia="zh-CN"/>
        </w:rPr>
        <w:t>2,000</w:t>
      </w:r>
      <w:r>
        <w:rPr>
          <w:lang w:eastAsia="zh-CN"/>
        </w:rPr>
        <w:t>美元</w:t>
      </w:r>
      <w:r>
        <w:rPr>
          <w:lang w:eastAsia="zh-CN"/>
        </w:rPr>
        <w:t>/</w:t>
      </w:r>
      <w:r>
        <w:rPr>
          <w:lang w:eastAsia="zh-CN"/>
        </w:rPr>
        <w:t>周</w:t>
      </w:r>
      <w:r>
        <w:rPr>
          <w:lang w:eastAsia="zh-CN"/>
        </w:rPr>
        <w:t>/DC</w:t>
      </w:r>
      <w:r>
        <w:rPr>
          <w:lang w:eastAsia="zh-CN"/>
        </w:rPr>
        <w:t>（租金、水电、基本人员），变动成本</w:t>
      </w:r>
      <w:r>
        <w:rPr>
          <w:lang w:eastAsia="zh-CN"/>
        </w:rPr>
        <w:t>8</w:t>
      </w:r>
      <w:r>
        <w:rPr>
          <w:lang w:eastAsia="zh-CN"/>
        </w:rPr>
        <w:t>美元</w:t>
      </w:r>
      <w:r>
        <w:rPr>
          <w:lang w:eastAsia="zh-CN"/>
        </w:rPr>
        <w:t>/</w:t>
      </w:r>
      <w:r>
        <w:rPr>
          <w:lang w:eastAsia="zh-CN"/>
        </w:rPr>
        <w:t>吨（装卸人工与消耗品）。</w:t>
      </w:r>
    </w:p>
    <w:p w14:paraId="4540C866" w14:textId="77777777" w:rsidR="00E63BBA" w:rsidRDefault="00000000">
      <w:pPr>
        <w:pStyle w:val="21"/>
        <w:rPr>
          <w:lang w:eastAsia="zh-CN"/>
        </w:rPr>
      </w:pPr>
      <w:r>
        <w:rPr>
          <w:lang w:eastAsia="zh-CN"/>
        </w:rPr>
        <w:lastRenderedPageBreak/>
        <w:t xml:space="preserve">3.5  </w:t>
      </w:r>
      <w:r>
        <w:rPr>
          <w:lang w:eastAsia="zh-CN"/>
        </w:rPr>
        <w:t>基准情景估算</w:t>
      </w:r>
    </w:p>
    <w:p w14:paraId="03BFDA01" w14:textId="64F7E2BA" w:rsidR="00B75ADE" w:rsidRDefault="00000000" w:rsidP="00B75ADE">
      <w:pPr>
        <w:rPr>
          <w:lang w:eastAsia="zh-CN"/>
        </w:rPr>
      </w:pPr>
      <w:r>
        <w:rPr>
          <w:lang w:eastAsia="zh-CN"/>
        </w:rPr>
        <w:t>将上述公式应用于当前</w:t>
      </w:r>
      <w:r>
        <w:rPr>
          <w:lang w:eastAsia="zh-CN"/>
        </w:rPr>
        <w:t>7-DC</w:t>
      </w:r>
      <w:r>
        <w:rPr>
          <w:lang w:eastAsia="zh-CN"/>
        </w:rPr>
        <w:t>网络，得到各</w:t>
      </w:r>
      <w:r>
        <w:rPr>
          <w:lang w:eastAsia="zh-CN"/>
        </w:rPr>
        <w:t>DC</w:t>
      </w:r>
      <w:r>
        <w:rPr>
          <w:lang w:eastAsia="zh-CN"/>
        </w:rPr>
        <w:t>及全网络的成本估算。完整的逐</w:t>
      </w:r>
      <w:r>
        <w:rPr>
          <w:lang w:eastAsia="zh-CN"/>
        </w:rPr>
        <w:t>DC</w:t>
      </w:r>
      <w:r>
        <w:rPr>
          <w:lang w:eastAsia="zh-CN"/>
        </w:rPr>
        <w:t>、逐客户计算过程见随附</w:t>
      </w:r>
      <w:r>
        <w:rPr>
          <w:lang w:eastAsia="zh-CN"/>
        </w:rPr>
        <w:t>Excel</w:t>
      </w:r>
      <w:r>
        <w:rPr>
          <w:lang w:eastAsia="zh-CN"/>
        </w:rPr>
        <w:t>文件（</w:t>
      </w:r>
      <w:r>
        <w:rPr>
          <w:lang w:eastAsia="zh-CN"/>
        </w:rPr>
        <w:t>"PPP_</w:t>
      </w:r>
      <w:r>
        <w:rPr>
          <w:lang w:eastAsia="zh-CN"/>
        </w:rPr>
        <w:t>成本计算模型</w:t>
      </w:r>
      <w:r>
        <w:rPr>
          <w:lang w:eastAsia="zh-CN"/>
        </w:rPr>
        <w:t>.xlsx"</w:t>
      </w:r>
      <w:r>
        <w:rPr>
          <w:lang w:eastAsia="zh-CN"/>
        </w:rPr>
        <w:t>）。基准情景下全网络周总成本约为</w:t>
      </w:r>
      <w:r>
        <w:rPr>
          <w:lang w:eastAsia="zh-CN"/>
        </w:rPr>
        <w:t>341,520</w:t>
      </w:r>
      <w:r>
        <w:rPr>
          <w:lang w:eastAsia="zh-CN"/>
        </w:rPr>
        <w:t>美元，其中干线运输占</w:t>
      </w:r>
      <w:r>
        <w:rPr>
          <w:lang w:eastAsia="zh-CN"/>
        </w:rPr>
        <w:t>51%</w:t>
      </w:r>
      <w:r>
        <w:rPr>
          <w:lang w:eastAsia="zh-CN"/>
        </w:rPr>
        <w:t>，本地配送</w:t>
      </w:r>
      <w:r>
        <w:rPr>
          <w:rFonts w:hint="eastAsia"/>
          <w:noProof/>
          <w:lang w:eastAsia="zh-CN"/>
        </w:rPr>
        <w:drawing>
          <wp:anchor distT="0" distB="0" distL="114300" distR="114300" simplePos="0" relativeHeight="251657216" behindDoc="1" locked="0" layoutInCell="1" allowOverlap="1" wp14:anchorId="01164826" wp14:editId="0E2EE350">
            <wp:simplePos x="0" y="0"/>
            <wp:positionH relativeFrom="column">
              <wp:posOffset>-136207</wp:posOffset>
            </wp:positionH>
            <wp:positionV relativeFrom="paragraph">
              <wp:posOffset>661670</wp:posOffset>
            </wp:positionV>
            <wp:extent cx="5559729" cy="3409950"/>
            <wp:effectExtent l="0" t="0" r="3175" b="0"/>
            <wp:wrapTight wrapText="bothSides">
              <wp:wrapPolygon edited="0">
                <wp:start x="0" y="0"/>
                <wp:lineTo x="0" y="21479"/>
                <wp:lineTo x="21538" y="21479"/>
                <wp:lineTo x="21538" y="0"/>
                <wp:lineTo x="0" y="0"/>
              </wp:wrapPolygon>
            </wp:wrapTight>
            <wp:docPr id="2101664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6487" name="图片 210166487"/>
                    <pic:cNvPicPr/>
                  </pic:nvPicPr>
                  <pic:blipFill>
                    <a:blip r:embed="rId15"/>
                    <a:stretch>
                      <a:fillRect/>
                    </a:stretch>
                  </pic:blipFill>
                  <pic:spPr>
                    <a:xfrm>
                      <a:off x="0" y="0"/>
                      <a:ext cx="5559729" cy="3409950"/>
                    </a:xfrm>
                    <a:prstGeom prst="rect">
                      <a:avLst/>
                    </a:prstGeom>
                  </pic:spPr>
                </pic:pic>
              </a:graphicData>
            </a:graphic>
            <wp14:sizeRelH relativeFrom="page">
              <wp14:pctWidth>0</wp14:pctWidth>
            </wp14:sizeRelH>
            <wp14:sizeRelV relativeFrom="page">
              <wp14:pctHeight>0</wp14:pctHeight>
            </wp14:sizeRelV>
          </wp:anchor>
        </w:drawing>
      </w:r>
      <w:r>
        <w:rPr>
          <w:lang w:eastAsia="zh-CN"/>
        </w:rPr>
        <w:t>占</w:t>
      </w:r>
      <w:r>
        <w:rPr>
          <w:lang w:eastAsia="zh-CN"/>
        </w:rPr>
        <w:t>37%</w:t>
      </w:r>
      <w:r>
        <w:rPr>
          <w:lang w:eastAsia="zh-CN"/>
        </w:rPr>
        <w:t>，仓库成本占</w:t>
      </w:r>
      <w:r>
        <w:rPr>
          <w:lang w:eastAsia="zh-CN"/>
        </w:rPr>
        <w:t>11%</w:t>
      </w:r>
      <w:r>
        <w:rPr>
          <w:lang w:eastAsia="zh-CN"/>
        </w:rPr>
        <w:t>，库存成本占</w:t>
      </w:r>
      <w:r>
        <w:rPr>
          <w:lang w:eastAsia="zh-CN"/>
        </w:rPr>
        <w:t>1%</w:t>
      </w:r>
      <w:r>
        <w:rPr>
          <w:lang w:eastAsia="zh-CN"/>
        </w:rPr>
        <w:t>。</w:t>
      </w:r>
    </w:p>
    <w:p w14:paraId="0A1B85D8" w14:textId="77777777" w:rsidR="00E63BBA" w:rsidRDefault="00000000">
      <w:pPr>
        <w:spacing w:before="240" w:after="80"/>
        <w:ind w:firstLine="0"/>
        <w:jc w:val="center"/>
        <w:rPr>
          <w:lang w:eastAsia="zh-CN"/>
        </w:rPr>
      </w:pPr>
      <w:r>
        <w:rPr>
          <w:b/>
          <w:sz w:val="20"/>
          <w:lang w:eastAsia="zh-CN"/>
        </w:rPr>
        <w:t>【图</w:t>
      </w:r>
      <w:r>
        <w:rPr>
          <w:b/>
          <w:sz w:val="20"/>
          <w:lang w:eastAsia="zh-CN"/>
        </w:rPr>
        <w:t>2</w:t>
      </w:r>
      <w:r>
        <w:rPr>
          <w:b/>
          <w:sz w:val="20"/>
          <w:lang w:eastAsia="zh-CN"/>
        </w:rPr>
        <w:t>：各</w:t>
      </w:r>
      <w:r>
        <w:rPr>
          <w:b/>
          <w:sz w:val="20"/>
          <w:lang w:eastAsia="zh-CN"/>
        </w:rPr>
        <w:t>DC</w:t>
      </w:r>
      <w:r>
        <w:rPr>
          <w:b/>
          <w:sz w:val="20"/>
          <w:lang w:eastAsia="zh-CN"/>
        </w:rPr>
        <w:t>成本构成对比】</w:t>
      </w:r>
    </w:p>
    <w:p w14:paraId="2913365E" w14:textId="77777777" w:rsidR="00E63BBA" w:rsidRDefault="00000000">
      <w:pPr>
        <w:pStyle w:val="1"/>
        <w:rPr>
          <w:lang w:eastAsia="zh-CN"/>
        </w:rPr>
      </w:pPr>
      <w:r>
        <w:rPr>
          <w:lang w:eastAsia="zh-CN"/>
        </w:rPr>
        <w:t xml:space="preserve">4  </w:t>
      </w:r>
      <w:r>
        <w:rPr>
          <w:lang w:eastAsia="zh-CN"/>
        </w:rPr>
        <w:t>情景分析与讨论</w:t>
      </w:r>
    </w:p>
    <w:p w14:paraId="61198F8F" w14:textId="77777777" w:rsidR="00E63BBA" w:rsidRDefault="00000000">
      <w:pPr>
        <w:pStyle w:val="21"/>
        <w:rPr>
          <w:lang w:eastAsia="zh-CN"/>
        </w:rPr>
      </w:pPr>
      <w:r>
        <w:rPr>
          <w:lang w:eastAsia="zh-CN"/>
        </w:rPr>
        <w:t xml:space="preserve">4.1  </w:t>
      </w:r>
      <w:r>
        <w:rPr>
          <w:lang w:eastAsia="zh-CN"/>
        </w:rPr>
        <w:t>情景</w:t>
      </w:r>
      <w:r>
        <w:rPr>
          <w:lang w:eastAsia="zh-CN"/>
        </w:rPr>
        <w:t>0</w:t>
      </w:r>
      <w:r>
        <w:rPr>
          <w:lang w:eastAsia="zh-CN"/>
        </w:rPr>
        <w:t>：基准情景（当前网络）</w:t>
      </w:r>
    </w:p>
    <w:p w14:paraId="2CA551DE" w14:textId="77777777" w:rsidR="00E63BBA" w:rsidRDefault="00000000">
      <w:pPr>
        <w:rPr>
          <w:lang w:eastAsia="zh-CN"/>
        </w:rPr>
      </w:pPr>
      <w:r>
        <w:rPr>
          <w:lang w:eastAsia="zh-CN"/>
        </w:rPr>
        <w:t>维持现有</w:t>
      </w:r>
      <w:r>
        <w:rPr>
          <w:lang w:eastAsia="zh-CN"/>
        </w:rPr>
        <w:t>7-DC</w:t>
      </w:r>
      <w:r>
        <w:rPr>
          <w:lang w:eastAsia="zh-CN"/>
        </w:rPr>
        <w:t>结构，全部公路干线运输。优点是各区域客户关系稳定、配送距离较短、操作流程成熟。缺点在于：七个</w:t>
      </w:r>
      <w:r>
        <w:rPr>
          <w:lang w:eastAsia="zh-CN"/>
        </w:rPr>
        <w:t>DC</w:t>
      </w:r>
      <w:r>
        <w:rPr>
          <w:lang w:eastAsia="zh-CN"/>
        </w:rPr>
        <w:t>各自承担固定成本，安特卫普（</w:t>
      </w:r>
      <w:r>
        <w:rPr>
          <w:lang w:eastAsia="zh-CN"/>
        </w:rPr>
        <w:t>249</w:t>
      </w:r>
      <w:r>
        <w:rPr>
          <w:lang w:eastAsia="zh-CN"/>
        </w:rPr>
        <w:t>吨</w:t>
      </w:r>
      <w:r>
        <w:rPr>
          <w:lang w:eastAsia="zh-CN"/>
        </w:rPr>
        <w:t>/</w:t>
      </w:r>
      <w:r>
        <w:rPr>
          <w:lang w:eastAsia="zh-CN"/>
        </w:rPr>
        <w:t>周）等低吞吐量</w:t>
      </w:r>
      <w:r>
        <w:rPr>
          <w:lang w:eastAsia="zh-CN"/>
        </w:rPr>
        <w:t>DC</w:t>
      </w:r>
      <w:r>
        <w:rPr>
          <w:lang w:eastAsia="zh-CN"/>
        </w:rPr>
        <w:t>的单位成本偏高；完全依赖公路干线，未利用铁路或水路的成本优势。</w:t>
      </w:r>
    </w:p>
    <w:p w14:paraId="5D428139" w14:textId="77777777" w:rsidR="00E63BBA" w:rsidRDefault="00000000">
      <w:pPr>
        <w:pStyle w:val="21"/>
        <w:rPr>
          <w:lang w:eastAsia="zh-CN"/>
        </w:rPr>
      </w:pPr>
      <w:r>
        <w:rPr>
          <w:lang w:eastAsia="zh-CN"/>
        </w:rPr>
        <w:t xml:space="preserve">4.2  </w:t>
      </w:r>
      <w:r>
        <w:rPr>
          <w:lang w:eastAsia="zh-CN"/>
        </w:rPr>
        <w:t>情景</w:t>
      </w:r>
      <w:r>
        <w:rPr>
          <w:lang w:eastAsia="zh-CN"/>
        </w:rPr>
        <w:t>1</w:t>
      </w:r>
      <w:r>
        <w:rPr>
          <w:lang w:eastAsia="zh-CN"/>
        </w:rPr>
        <w:t>：</w:t>
      </w:r>
      <w:r>
        <w:rPr>
          <w:lang w:eastAsia="zh-CN"/>
        </w:rPr>
        <w:t>DC</w:t>
      </w:r>
      <w:r>
        <w:rPr>
          <w:lang w:eastAsia="zh-CN"/>
        </w:rPr>
        <w:t>整合方案</w:t>
      </w:r>
    </w:p>
    <w:p w14:paraId="5B643DCC" w14:textId="77777777" w:rsidR="00E63BBA" w:rsidRDefault="00000000">
      <w:pPr>
        <w:rPr>
          <w:lang w:eastAsia="zh-CN"/>
        </w:rPr>
      </w:pPr>
      <w:r>
        <w:rPr>
          <w:lang w:eastAsia="zh-CN"/>
        </w:rPr>
        <w:t>将</w:t>
      </w:r>
      <w:r>
        <w:rPr>
          <w:lang w:eastAsia="zh-CN"/>
        </w:rPr>
        <w:t>DC</w:t>
      </w:r>
      <w:r>
        <w:rPr>
          <w:lang w:eastAsia="zh-CN"/>
        </w:rPr>
        <w:t>从</w:t>
      </w:r>
      <w:r>
        <w:rPr>
          <w:lang w:eastAsia="zh-CN"/>
        </w:rPr>
        <w:t>7</w:t>
      </w:r>
      <w:r>
        <w:rPr>
          <w:lang w:eastAsia="zh-CN"/>
        </w:rPr>
        <w:t>个整合为</w:t>
      </w:r>
      <w:r>
        <w:rPr>
          <w:lang w:eastAsia="zh-CN"/>
        </w:rPr>
        <w:t>4</w:t>
      </w:r>
      <w:r>
        <w:rPr>
          <w:lang w:eastAsia="zh-CN"/>
        </w:rPr>
        <w:t>个区域枢纽：里斯本（伊比利亚）、巴黎（法国</w:t>
      </w:r>
      <w:r>
        <w:rPr>
          <w:lang w:eastAsia="zh-CN"/>
        </w:rPr>
        <w:t>+</w:t>
      </w:r>
      <w:r>
        <w:rPr>
          <w:lang w:eastAsia="zh-CN"/>
        </w:rPr>
        <w:t>比荷卢）、慕尼黑（德国</w:t>
      </w:r>
      <w:r>
        <w:rPr>
          <w:lang w:eastAsia="zh-CN"/>
        </w:rPr>
        <w:t>+</w:t>
      </w:r>
      <w:r>
        <w:rPr>
          <w:lang w:eastAsia="zh-CN"/>
        </w:rPr>
        <w:t>瑞士</w:t>
      </w:r>
      <w:r>
        <w:rPr>
          <w:lang w:eastAsia="zh-CN"/>
        </w:rPr>
        <w:t>+</w:t>
      </w:r>
      <w:r>
        <w:rPr>
          <w:lang w:eastAsia="zh-CN"/>
        </w:rPr>
        <w:t>奥地利</w:t>
      </w:r>
      <w:r>
        <w:rPr>
          <w:lang w:eastAsia="zh-CN"/>
        </w:rPr>
        <w:t>+</w:t>
      </w:r>
      <w:r>
        <w:rPr>
          <w:lang w:eastAsia="zh-CN"/>
        </w:rPr>
        <w:t>意大利）、伦敦（英国</w:t>
      </w:r>
      <w:r>
        <w:rPr>
          <w:lang w:eastAsia="zh-CN"/>
        </w:rPr>
        <w:t>+</w:t>
      </w:r>
      <w:r>
        <w:rPr>
          <w:lang w:eastAsia="zh-CN"/>
        </w:rPr>
        <w:t>爱尔兰）。关闭</w:t>
      </w:r>
      <w:r>
        <w:rPr>
          <w:lang w:eastAsia="zh-CN"/>
        </w:rPr>
        <w:lastRenderedPageBreak/>
        <w:t>汉诺威、安特卫普、米兰</w:t>
      </w:r>
      <w:r>
        <w:rPr>
          <w:lang w:eastAsia="zh-CN"/>
        </w:rPr>
        <w:t>DC</w:t>
      </w:r>
      <w:r>
        <w:rPr>
          <w:lang w:eastAsia="zh-CN"/>
        </w:rPr>
        <w:t>。优势在于节省三份固定成本（</w:t>
      </w:r>
      <w:r>
        <w:rPr>
          <w:lang w:eastAsia="zh-CN"/>
        </w:rPr>
        <w:t>6,000</w:t>
      </w:r>
      <w:r>
        <w:rPr>
          <w:lang w:eastAsia="zh-CN"/>
        </w:rPr>
        <w:t>美元</w:t>
      </w:r>
      <w:r>
        <w:rPr>
          <w:lang w:eastAsia="zh-CN"/>
        </w:rPr>
        <w:t>/</w:t>
      </w:r>
      <w:r>
        <w:rPr>
          <w:lang w:eastAsia="zh-CN"/>
        </w:rPr>
        <w:t>周）及规模效应。风险在于部分客户的本地配送距离增加</w:t>
      </w:r>
      <w:r>
        <w:rPr>
          <w:lang w:eastAsia="zh-CN"/>
        </w:rPr>
        <w:t>——</w:t>
      </w:r>
      <w:r>
        <w:rPr>
          <w:lang w:eastAsia="zh-CN"/>
        </w:rPr>
        <w:t>意大利客户改由慕尼黑配送，安特卫普客户改由巴黎配送，可能导致配送成本和运输时间显著上升。</w:t>
      </w:r>
    </w:p>
    <w:p w14:paraId="2FA3B000" w14:textId="77777777" w:rsidR="00E63BBA" w:rsidRDefault="00000000">
      <w:pPr>
        <w:pStyle w:val="21"/>
        <w:rPr>
          <w:lang w:eastAsia="zh-CN"/>
        </w:rPr>
      </w:pPr>
      <w:r>
        <w:rPr>
          <w:lang w:eastAsia="zh-CN"/>
        </w:rPr>
        <w:t xml:space="preserve">4.3  </w:t>
      </w:r>
      <w:r>
        <w:rPr>
          <w:lang w:eastAsia="zh-CN"/>
        </w:rPr>
        <w:t>情景</w:t>
      </w:r>
      <w:r>
        <w:rPr>
          <w:lang w:eastAsia="zh-CN"/>
        </w:rPr>
        <w:t>2</w:t>
      </w:r>
      <w:r>
        <w:rPr>
          <w:lang w:eastAsia="zh-CN"/>
        </w:rPr>
        <w:t>：铁路干线替代</w:t>
      </w:r>
    </w:p>
    <w:p w14:paraId="35A3B143" w14:textId="77777777" w:rsidR="00E63BBA" w:rsidRDefault="00000000">
      <w:pPr>
        <w:rPr>
          <w:lang w:eastAsia="zh-CN"/>
        </w:rPr>
      </w:pPr>
      <w:r>
        <w:rPr>
          <w:lang w:eastAsia="zh-CN"/>
        </w:rPr>
        <w:t>保持</w:t>
      </w:r>
      <w:r>
        <w:rPr>
          <w:lang w:eastAsia="zh-CN"/>
        </w:rPr>
        <w:t>7-DC</w:t>
      </w:r>
      <w:r>
        <w:rPr>
          <w:lang w:eastAsia="zh-CN"/>
        </w:rPr>
        <w:t>结构，对周吞吐量超</w:t>
      </w:r>
      <w:r>
        <w:rPr>
          <w:lang w:eastAsia="zh-CN"/>
        </w:rPr>
        <w:t>200</w:t>
      </w:r>
      <w:r>
        <w:rPr>
          <w:lang w:eastAsia="zh-CN"/>
        </w:rPr>
        <w:t>吨的</w:t>
      </w:r>
      <w:r>
        <w:rPr>
          <w:lang w:eastAsia="zh-CN"/>
        </w:rPr>
        <w:t>DC</w:t>
      </w:r>
      <w:r>
        <w:rPr>
          <w:lang w:eastAsia="zh-CN"/>
        </w:rPr>
        <w:t>（巴黎、慕尼黑、汉诺威、伦敦）切换为铁路整车运输。铁路变动费率</w:t>
      </w:r>
      <w:r>
        <w:rPr>
          <w:lang w:eastAsia="zh-CN"/>
        </w:rPr>
        <w:t>0.009</w:t>
      </w:r>
      <w:r>
        <w:rPr>
          <w:lang w:eastAsia="zh-CN"/>
        </w:rPr>
        <w:t>美元</w:t>
      </w:r>
      <w:r>
        <w:rPr>
          <w:lang w:eastAsia="zh-CN"/>
        </w:rPr>
        <w:t>/</w:t>
      </w:r>
      <w:r>
        <w:rPr>
          <w:lang w:eastAsia="zh-CN"/>
        </w:rPr>
        <w:t>吨</w:t>
      </w:r>
      <w:r>
        <w:rPr>
          <w:lang w:eastAsia="zh-CN"/>
        </w:rPr>
        <w:t>/</w:t>
      </w:r>
      <w:r>
        <w:rPr>
          <w:lang w:eastAsia="zh-CN"/>
        </w:rPr>
        <w:t>公里，仅为公路（</w:t>
      </w:r>
      <w:r>
        <w:rPr>
          <w:lang w:eastAsia="zh-CN"/>
        </w:rPr>
        <w:t>0.03</w:t>
      </w:r>
      <w:r>
        <w:rPr>
          <w:lang w:eastAsia="zh-CN"/>
        </w:rPr>
        <w:t>）的</w:t>
      </w:r>
      <w:r>
        <w:rPr>
          <w:lang w:eastAsia="zh-CN"/>
        </w:rPr>
        <w:t>30%</w:t>
      </w:r>
      <w:r>
        <w:rPr>
          <w:lang w:eastAsia="zh-CN"/>
        </w:rPr>
        <w:t>，干线成本可大幅降低。运输时间同为</w:t>
      </w:r>
      <w:r>
        <w:rPr>
          <w:lang w:eastAsia="zh-CN"/>
        </w:rPr>
        <w:t>3</w:t>
      </w:r>
      <w:r>
        <w:rPr>
          <w:lang w:eastAsia="zh-CN"/>
        </w:rPr>
        <w:t>天，服务水平不受影响。约束条件为铁路最低运量</w:t>
      </w:r>
      <w:r>
        <w:rPr>
          <w:lang w:eastAsia="zh-CN"/>
        </w:rPr>
        <w:t>2,000</w:t>
      </w:r>
      <w:r>
        <w:rPr>
          <w:lang w:eastAsia="zh-CN"/>
        </w:rPr>
        <w:t>吨</w:t>
      </w:r>
      <w:r>
        <w:rPr>
          <w:lang w:eastAsia="zh-CN"/>
        </w:rPr>
        <w:t>/</w:t>
      </w:r>
      <w:r>
        <w:rPr>
          <w:lang w:eastAsia="zh-CN"/>
        </w:rPr>
        <w:t>列</w:t>
      </w:r>
      <w:r>
        <w:rPr>
          <w:lang w:eastAsia="zh-CN"/>
        </w:rPr>
        <w:t>——</w:t>
      </w:r>
      <w:r>
        <w:rPr>
          <w:lang w:eastAsia="zh-CN"/>
        </w:rPr>
        <w:t>无单一</w:t>
      </w:r>
      <w:r>
        <w:rPr>
          <w:lang w:eastAsia="zh-CN"/>
        </w:rPr>
        <w:t>DC</w:t>
      </w:r>
      <w:r>
        <w:rPr>
          <w:lang w:eastAsia="zh-CN"/>
        </w:rPr>
        <w:t>达到此规模，需通过多周积载或多</w:t>
      </w:r>
      <w:r>
        <w:rPr>
          <w:lang w:eastAsia="zh-CN"/>
        </w:rPr>
        <w:t>DC</w:t>
      </w:r>
      <w:r>
        <w:rPr>
          <w:lang w:eastAsia="zh-CN"/>
        </w:rPr>
        <w:t>共列来解决。另需目的地具备铁路接卸设施。</w:t>
      </w:r>
    </w:p>
    <w:p w14:paraId="63D43932" w14:textId="77777777" w:rsidR="00E63BBA" w:rsidRDefault="00000000">
      <w:pPr>
        <w:pStyle w:val="21"/>
        <w:rPr>
          <w:lang w:eastAsia="zh-CN"/>
        </w:rPr>
      </w:pPr>
      <w:r>
        <w:rPr>
          <w:lang w:eastAsia="zh-CN"/>
        </w:rPr>
        <w:t xml:space="preserve">4.4  </w:t>
      </w:r>
      <w:r>
        <w:rPr>
          <w:lang w:eastAsia="zh-CN"/>
        </w:rPr>
        <w:t>情景</w:t>
      </w:r>
      <w:r>
        <w:rPr>
          <w:lang w:eastAsia="zh-CN"/>
        </w:rPr>
        <w:t>3</w:t>
      </w:r>
      <w:r>
        <w:rPr>
          <w:lang w:eastAsia="zh-CN"/>
        </w:rPr>
        <w:t>：海运</w:t>
      </w:r>
      <w:r>
        <w:rPr>
          <w:lang w:eastAsia="zh-CN"/>
        </w:rPr>
        <w:t>+</w:t>
      </w:r>
      <w:r>
        <w:rPr>
          <w:lang w:eastAsia="zh-CN"/>
        </w:rPr>
        <w:t>陆运组合</w:t>
      </w:r>
    </w:p>
    <w:p w14:paraId="5FA3158B" w14:textId="77777777" w:rsidR="00E63BBA" w:rsidRDefault="00000000">
      <w:pPr>
        <w:rPr>
          <w:lang w:eastAsia="zh-CN"/>
        </w:rPr>
      </w:pPr>
      <w:r>
        <w:rPr>
          <w:lang w:eastAsia="zh-CN"/>
        </w:rPr>
        <w:t>安特卫普</w:t>
      </w:r>
      <w:r>
        <w:rPr>
          <w:lang w:eastAsia="zh-CN"/>
        </w:rPr>
        <w:t>DC</w:t>
      </w:r>
      <w:r>
        <w:rPr>
          <w:lang w:eastAsia="zh-CN"/>
        </w:rPr>
        <w:t>的干线运输由公路切换为海运（里斯本</w:t>
      </w:r>
      <w:r>
        <w:rPr>
          <w:lang w:eastAsia="zh-CN"/>
        </w:rPr>
        <w:t>→</w:t>
      </w:r>
      <w:r>
        <w:rPr>
          <w:lang w:eastAsia="zh-CN"/>
        </w:rPr>
        <w:t>鹿特丹港，再公路短驳至安特卫普）。海运仅</w:t>
      </w:r>
      <w:r>
        <w:rPr>
          <w:lang w:eastAsia="zh-CN"/>
        </w:rPr>
        <w:t>4</w:t>
      </w:r>
      <w:r>
        <w:rPr>
          <w:lang w:eastAsia="zh-CN"/>
        </w:rPr>
        <w:t>美元</w:t>
      </w:r>
      <w:r>
        <w:rPr>
          <w:lang w:eastAsia="zh-CN"/>
        </w:rPr>
        <w:t>/</w:t>
      </w:r>
      <w:r>
        <w:rPr>
          <w:lang w:eastAsia="zh-CN"/>
        </w:rPr>
        <w:t>吨，极具价格竞争力。但总运输时间从</w:t>
      </w:r>
      <w:r>
        <w:rPr>
          <w:lang w:eastAsia="zh-CN"/>
        </w:rPr>
        <w:t>3</w:t>
      </w:r>
      <w:r>
        <w:rPr>
          <w:lang w:eastAsia="zh-CN"/>
        </w:rPr>
        <w:t>天增至</w:t>
      </w:r>
      <w:r>
        <w:rPr>
          <w:lang w:eastAsia="zh-CN"/>
        </w:rPr>
        <w:t>6</w:t>
      </w:r>
      <w:r>
        <w:rPr>
          <w:lang w:eastAsia="zh-CN"/>
        </w:rPr>
        <w:t>天，库存持有成本相应翻倍。该方案可扩展至伦敦</w:t>
      </w:r>
      <w:r>
        <w:rPr>
          <w:lang w:eastAsia="zh-CN"/>
        </w:rPr>
        <w:t>DC</w:t>
      </w:r>
      <w:r>
        <w:rPr>
          <w:lang w:eastAsia="zh-CN"/>
        </w:rPr>
        <w:t>，但操作复杂度（港口装卸、清关、多式联运协调）是需要审慎评估的因素。</w:t>
      </w:r>
    </w:p>
    <w:p w14:paraId="0E7E624C" w14:textId="77777777" w:rsidR="00E63BBA" w:rsidRDefault="00000000">
      <w:pPr>
        <w:pStyle w:val="21"/>
        <w:rPr>
          <w:lang w:eastAsia="zh-CN"/>
        </w:rPr>
      </w:pPr>
      <w:r>
        <w:rPr>
          <w:lang w:eastAsia="zh-CN"/>
        </w:rPr>
        <w:t xml:space="preserve">4.5  </w:t>
      </w:r>
      <w:r>
        <w:rPr>
          <w:lang w:eastAsia="zh-CN"/>
        </w:rPr>
        <w:t>情景</w:t>
      </w:r>
      <w:r>
        <w:rPr>
          <w:lang w:eastAsia="zh-CN"/>
        </w:rPr>
        <w:t>4</w:t>
      </w:r>
      <w:r>
        <w:rPr>
          <w:lang w:eastAsia="zh-CN"/>
        </w:rPr>
        <w:t>：全面铁路方案</w:t>
      </w:r>
    </w:p>
    <w:p w14:paraId="218DA732" w14:textId="77777777" w:rsidR="00E63BBA" w:rsidRDefault="00000000">
      <w:pPr>
        <w:rPr>
          <w:lang w:eastAsia="zh-CN"/>
        </w:rPr>
      </w:pPr>
      <w:r>
        <w:rPr>
          <w:lang w:eastAsia="zh-CN"/>
        </w:rPr>
        <w:t>高吞吐量</w:t>
      </w:r>
      <w:r>
        <w:rPr>
          <w:lang w:eastAsia="zh-CN"/>
        </w:rPr>
        <w:t>DC</w:t>
      </w:r>
      <w:r>
        <w:rPr>
          <w:lang w:eastAsia="zh-CN"/>
        </w:rPr>
        <w:t>采用整车铁路，低吞吐量</w:t>
      </w:r>
      <w:r>
        <w:rPr>
          <w:lang w:eastAsia="zh-CN"/>
        </w:rPr>
        <w:t>DC</w:t>
      </w:r>
      <w:r>
        <w:rPr>
          <w:lang w:eastAsia="zh-CN"/>
        </w:rPr>
        <w:t>（安特卫普、米兰）采用零散车皮运输。车皮运输存在严重短板：运输时间</w:t>
      </w:r>
      <w:r>
        <w:rPr>
          <w:lang w:eastAsia="zh-CN"/>
        </w:rPr>
        <w:t>2-4</w:t>
      </w:r>
      <w:r>
        <w:rPr>
          <w:lang w:eastAsia="zh-CN"/>
        </w:rPr>
        <w:t>周且不可控（中转编组滞留），变动费率</w:t>
      </w:r>
      <w:r>
        <w:rPr>
          <w:lang w:eastAsia="zh-CN"/>
        </w:rPr>
        <w:t>0.45</w:t>
      </w:r>
      <w:r>
        <w:rPr>
          <w:lang w:eastAsia="zh-CN"/>
        </w:rPr>
        <w:t>美元</w:t>
      </w:r>
      <w:r>
        <w:rPr>
          <w:lang w:eastAsia="zh-CN"/>
        </w:rPr>
        <w:t>/</w:t>
      </w:r>
      <w:r>
        <w:rPr>
          <w:lang w:eastAsia="zh-CN"/>
        </w:rPr>
        <w:t>公里远超公路的</w:t>
      </w:r>
      <w:r>
        <w:rPr>
          <w:lang w:eastAsia="zh-CN"/>
        </w:rPr>
        <w:t>0.03</w:t>
      </w:r>
      <w:r>
        <w:rPr>
          <w:lang w:eastAsia="zh-CN"/>
        </w:rPr>
        <w:t>美元</w:t>
      </w:r>
      <w:r>
        <w:rPr>
          <w:lang w:eastAsia="zh-CN"/>
        </w:rPr>
        <w:t>/</w:t>
      </w:r>
      <w:r>
        <w:rPr>
          <w:lang w:eastAsia="zh-CN"/>
        </w:rPr>
        <w:t>公里，导致库存成本飙升且总成本可能反超公路。该方案的改良变体是将</w:t>
      </w:r>
      <w:r>
        <w:rPr>
          <w:lang w:eastAsia="zh-CN"/>
        </w:rPr>
        <w:t>DC</w:t>
      </w:r>
      <w:r>
        <w:rPr>
          <w:lang w:eastAsia="zh-CN"/>
        </w:rPr>
        <w:t>整合与整车铁路结合</w:t>
      </w:r>
      <w:r>
        <w:rPr>
          <w:lang w:eastAsia="zh-CN"/>
        </w:rPr>
        <w:t>——</w:t>
      </w:r>
      <w:r>
        <w:rPr>
          <w:lang w:eastAsia="zh-CN"/>
        </w:rPr>
        <w:t>先缩减</w:t>
      </w:r>
      <w:r>
        <w:rPr>
          <w:lang w:eastAsia="zh-CN"/>
        </w:rPr>
        <w:t>DC</w:t>
      </w:r>
      <w:r>
        <w:rPr>
          <w:lang w:eastAsia="zh-CN"/>
        </w:rPr>
        <w:t>数量至</w:t>
      </w:r>
      <w:r>
        <w:rPr>
          <w:lang w:eastAsia="zh-CN"/>
        </w:rPr>
        <w:t>4</w:t>
      </w:r>
      <w:r>
        <w:rPr>
          <w:lang w:eastAsia="zh-CN"/>
        </w:rPr>
        <w:t>个，使每个</w:t>
      </w:r>
      <w:r>
        <w:rPr>
          <w:lang w:eastAsia="zh-CN"/>
        </w:rPr>
        <w:t>DC</w:t>
      </w:r>
      <w:r>
        <w:rPr>
          <w:lang w:eastAsia="zh-CN"/>
        </w:rPr>
        <w:t>的运量足以支撑整车铁路，避免使用车皮。</w:t>
      </w:r>
    </w:p>
    <w:p w14:paraId="5253FBBC" w14:textId="77777777" w:rsidR="00E63BBA" w:rsidRDefault="00000000">
      <w:pPr>
        <w:pStyle w:val="21"/>
      </w:pPr>
      <w:r>
        <w:t xml:space="preserve">4.6  </w:t>
      </w:r>
      <w:r>
        <w:t>情景对比</w:t>
      </w:r>
    </w:p>
    <w:tbl>
      <w:tblPr>
        <w:tblStyle w:val="aff1"/>
        <w:tblW w:w="0" w:type="auto"/>
        <w:jc w:val="center"/>
        <w:tblBorders>
          <w:top w:val="nil"/>
          <w:left w:val="nil"/>
          <w:bottom w:val="nil"/>
          <w:right w:val="nil"/>
          <w:insideH w:val="nil"/>
          <w:insideV w:val="nil"/>
        </w:tblBorders>
        <w:tblLook w:val="04A0" w:firstRow="1" w:lastRow="0" w:firstColumn="1" w:lastColumn="0" w:noHBand="0" w:noVBand="1"/>
      </w:tblPr>
      <w:tblGrid>
        <w:gridCol w:w="1385"/>
        <w:gridCol w:w="1385"/>
        <w:gridCol w:w="1385"/>
        <w:gridCol w:w="1385"/>
        <w:gridCol w:w="1385"/>
        <w:gridCol w:w="1385"/>
      </w:tblGrid>
      <w:tr w:rsidR="00E63BBA" w14:paraId="439D8626" w14:textId="77777777">
        <w:trPr>
          <w:cantSplit/>
          <w:tblHeader/>
          <w:jc w:val="center"/>
        </w:trPr>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7AED3B94" w14:textId="77777777" w:rsidR="00E63BBA" w:rsidRDefault="00000000">
            <w:pPr>
              <w:spacing w:line="240" w:lineRule="auto"/>
              <w:ind w:firstLine="0"/>
              <w:jc w:val="center"/>
            </w:pPr>
            <w:r>
              <w:rPr>
                <w:b/>
                <w:color w:val="000000"/>
                <w:sz w:val="20"/>
              </w:rPr>
              <w:t>情景</w:t>
            </w:r>
          </w:p>
        </w:tc>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7A138643" w14:textId="77777777" w:rsidR="00E63BBA" w:rsidRDefault="00000000">
            <w:pPr>
              <w:spacing w:line="240" w:lineRule="auto"/>
              <w:ind w:firstLine="0"/>
              <w:jc w:val="center"/>
            </w:pPr>
            <w:r>
              <w:rPr>
                <w:b/>
                <w:color w:val="000000"/>
                <w:sz w:val="20"/>
              </w:rPr>
              <w:t>干线运输</w:t>
            </w:r>
          </w:p>
        </w:tc>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5A12AEF3" w14:textId="77777777" w:rsidR="00E63BBA" w:rsidRDefault="00000000">
            <w:pPr>
              <w:spacing w:line="240" w:lineRule="auto"/>
              <w:ind w:firstLine="0"/>
              <w:jc w:val="center"/>
            </w:pPr>
            <w:r>
              <w:rPr>
                <w:b/>
                <w:color w:val="000000"/>
                <w:sz w:val="20"/>
              </w:rPr>
              <w:t>仓库成本</w:t>
            </w:r>
          </w:p>
        </w:tc>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19CE8ECD" w14:textId="77777777" w:rsidR="00E63BBA" w:rsidRDefault="00000000">
            <w:pPr>
              <w:spacing w:line="240" w:lineRule="auto"/>
              <w:ind w:firstLine="0"/>
              <w:jc w:val="center"/>
            </w:pPr>
            <w:r>
              <w:rPr>
                <w:b/>
                <w:color w:val="000000"/>
                <w:sz w:val="20"/>
              </w:rPr>
              <w:t>本地配送</w:t>
            </w:r>
          </w:p>
        </w:tc>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2448FEE1" w14:textId="77777777" w:rsidR="00E63BBA" w:rsidRDefault="00000000">
            <w:pPr>
              <w:spacing w:line="240" w:lineRule="auto"/>
              <w:ind w:firstLine="0"/>
              <w:jc w:val="center"/>
            </w:pPr>
            <w:r>
              <w:rPr>
                <w:b/>
                <w:color w:val="000000"/>
                <w:sz w:val="20"/>
              </w:rPr>
              <w:t>库存成本</w:t>
            </w:r>
          </w:p>
        </w:tc>
        <w:tc>
          <w:tcPr>
            <w:tcW w:w="1385"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1F66BE41" w14:textId="77777777" w:rsidR="00E63BBA" w:rsidRDefault="00000000">
            <w:pPr>
              <w:spacing w:line="240" w:lineRule="auto"/>
              <w:ind w:firstLine="0"/>
              <w:jc w:val="center"/>
            </w:pPr>
            <w:r>
              <w:rPr>
                <w:b/>
                <w:color w:val="000000"/>
                <w:sz w:val="20"/>
              </w:rPr>
              <w:t>综合评价</w:t>
            </w:r>
          </w:p>
        </w:tc>
      </w:tr>
      <w:tr w:rsidR="00E63BBA" w14:paraId="299497E1" w14:textId="77777777">
        <w:trPr>
          <w:cantSplit/>
          <w:jc w:val="center"/>
        </w:trPr>
        <w:tc>
          <w:tcPr>
            <w:tcW w:w="1385" w:type="dxa"/>
            <w:tcBorders>
              <w:top w:val="nil"/>
              <w:left w:val="nil"/>
              <w:bottom w:val="nil"/>
              <w:right w:val="nil"/>
            </w:tcBorders>
            <w:tcMar>
              <w:top w:w="80" w:type="dxa"/>
              <w:left w:w="80" w:type="dxa"/>
              <w:bottom w:w="80" w:type="dxa"/>
              <w:right w:w="80" w:type="dxa"/>
            </w:tcMar>
            <w:vAlign w:val="center"/>
          </w:tcPr>
          <w:p w14:paraId="0D304509" w14:textId="77777777" w:rsidR="00E63BBA" w:rsidRDefault="00000000">
            <w:pPr>
              <w:spacing w:line="240" w:lineRule="auto"/>
              <w:ind w:firstLine="0"/>
              <w:jc w:val="center"/>
            </w:pPr>
            <w:r>
              <w:rPr>
                <w:color w:val="000000"/>
                <w:sz w:val="20"/>
              </w:rPr>
              <w:t xml:space="preserve">S0: </w:t>
            </w:r>
            <w:r>
              <w:rPr>
                <w:color w:val="000000"/>
                <w:sz w:val="20"/>
              </w:rPr>
              <w:t>基准</w:t>
            </w:r>
          </w:p>
        </w:tc>
        <w:tc>
          <w:tcPr>
            <w:tcW w:w="1385" w:type="dxa"/>
            <w:tcBorders>
              <w:top w:val="nil"/>
              <w:left w:val="nil"/>
              <w:bottom w:val="nil"/>
              <w:right w:val="nil"/>
            </w:tcBorders>
            <w:tcMar>
              <w:top w:w="80" w:type="dxa"/>
              <w:left w:w="80" w:type="dxa"/>
              <w:bottom w:w="80" w:type="dxa"/>
              <w:right w:w="80" w:type="dxa"/>
            </w:tcMar>
            <w:vAlign w:val="center"/>
          </w:tcPr>
          <w:p w14:paraId="0FD52CF5" w14:textId="77777777" w:rsidR="00E63BBA" w:rsidRDefault="00000000">
            <w:pPr>
              <w:spacing w:line="240" w:lineRule="auto"/>
              <w:ind w:firstLine="0"/>
              <w:jc w:val="center"/>
            </w:pPr>
            <w:r>
              <w:rPr>
                <w:color w:val="000000"/>
                <w:sz w:val="20"/>
              </w:rPr>
              <w:t>基准值</w:t>
            </w:r>
          </w:p>
        </w:tc>
        <w:tc>
          <w:tcPr>
            <w:tcW w:w="1385" w:type="dxa"/>
            <w:tcBorders>
              <w:top w:val="nil"/>
              <w:left w:val="nil"/>
              <w:bottom w:val="nil"/>
              <w:right w:val="nil"/>
            </w:tcBorders>
            <w:tcMar>
              <w:top w:w="80" w:type="dxa"/>
              <w:left w:w="80" w:type="dxa"/>
              <w:bottom w:w="80" w:type="dxa"/>
              <w:right w:w="80" w:type="dxa"/>
            </w:tcMar>
            <w:vAlign w:val="center"/>
          </w:tcPr>
          <w:p w14:paraId="002A7FCF" w14:textId="77777777" w:rsidR="00E63BBA" w:rsidRDefault="00000000">
            <w:pPr>
              <w:spacing w:line="240" w:lineRule="auto"/>
              <w:ind w:firstLine="0"/>
              <w:jc w:val="center"/>
            </w:pPr>
            <w:r>
              <w:rPr>
                <w:color w:val="000000"/>
                <w:sz w:val="20"/>
              </w:rPr>
              <w:t>基准值</w:t>
            </w:r>
          </w:p>
        </w:tc>
        <w:tc>
          <w:tcPr>
            <w:tcW w:w="1385" w:type="dxa"/>
            <w:tcBorders>
              <w:top w:val="nil"/>
              <w:left w:val="nil"/>
              <w:bottom w:val="nil"/>
              <w:right w:val="nil"/>
            </w:tcBorders>
            <w:tcMar>
              <w:top w:w="80" w:type="dxa"/>
              <w:left w:w="80" w:type="dxa"/>
              <w:bottom w:w="80" w:type="dxa"/>
              <w:right w:w="80" w:type="dxa"/>
            </w:tcMar>
            <w:vAlign w:val="center"/>
          </w:tcPr>
          <w:p w14:paraId="7975E2A4" w14:textId="77777777" w:rsidR="00E63BBA" w:rsidRDefault="00000000">
            <w:pPr>
              <w:spacing w:line="240" w:lineRule="auto"/>
              <w:ind w:firstLine="0"/>
              <w:jc w:val="center"/>
            </w:pPr>
            <w:r>
              <w:rPr>
                <w:color w:val="000000"/>
                <w:sz w:val="20"/>
              </w:rPr>
              <w:t>基准值</w:t>
            </w:r>
          </w:p>
        </w:tc>
        <w:tc>
          <w:tcPr>
            <w:tcW w:w="1385" w:type="dxa"/>
            <w:tcBorders>
              <w:top w:val="nil"/>
              <w:left w:val="nil"/>
              <w:bottom w:val="nil"/>
              <w:right w:val="nil"/>
            </w:tcBorders>
            <w:tcMar>
              <w:top w:w="80" w:type="dxa"/>
              <w:left w:w="80" w:type="dxa"/>
              <w:bottom w:w="80" w:type="dxa"/>
              <w:right w:w="80" w:type="dxa"/>
            </w:tcMar>
            <w:vAlign w:val="center"/>
          </w:tcPr>
          <w:p w14:paraId="3A84A17F" w14:textId="77777777" w:rsidR="00E63BBA" w:rsidRDefault="00000000">
            <w:pPr>
              <w:spacing w:line="240" w:lineRule="auto"/>
              <w:ind w:firstLine="0"/>
              <w:jc w:val="center"/>
            </w:pPr>
            <w:r>
              <w:rPr>
                <w:color w:val="000000"/>
                <w:sz w:val="20"/>
              </w:rPr>
              <w:t>基准值</w:t>
            </w:r>
          </w:p>
        </w:tc>
        <w:tc>
          <w:tcPr>
            <w:tcW w:w="1385" w:type="dxa"/>
            <w:tcBorders>
              <w:top w:val="nil"/>
              <w:left w:val="nil"/>
              <w:bottom w:val="nil"/>
              <w:right w:val="nil"/>
            </w:tcBorders>
            <w:tcMar>
              <w:top w:w="80" w:type="dxa"/>
              <w:left w:w="80" w:type="dxa"/>
              <w:bottom w:w="80" w:type="dxa"/>
              <w:right w:w="80" w:type="dxa"/>
            </w:tcMar>
            <w:vAlign w:val="center"/>
          </w:tcPr>
          <w:p w14:paraId="0D344701" w14:textId="77777777" w:rsidR="00E63BBA" w:rsidRDefault="00000000">
            <w:pPr>
              <w:spacing w:line="240" w:lineRule="auto"/>
              <w:ind w:firstLine="0"/>
              <w:jc w:val="center"/>
            </w:pPr>
            <w:r>
              <w:rPr>
                <w:color w:val="000000"/>
                <w:sz w:val="20"/>
              </w:rPr>
              <w:t>成本高，结构冗余</w:t>
            </w:r>
          </w:p>
        </w:tc>
      </w:tr>
      <w:tr w:rsidR="00E63BBA" w14:paraId="1F750421" w14:textId="77777777">
        <w:trPr>
          <w:cantSplit/>
          <w:jc w:val="center"/>
        </w:trPr>
        <w:tc>
          <w:tcPr>
            <w:tcW w:w="1385" w:type="dxa"/>
            <w:tcBorders>
              <w:top w:val="nil"/>
              <w:left w:val="nil"/>
              <w:bottom w:val="nil"/>
              <w:right w:val="nil"/>
            </w:tcBorders>
            <w:tcMar>
              <w:top w:w="80" w:type="dxa"/>
              <w:left w:w="80" w:type="dxa"/>
              <w:bottom w:w="80" w:type="dxa"/>
              <w:right w:w="80" w:type="dxa"/>
            </w:tcMar>
            <w:vAlign w:val="center"/>
          </w:tcPr>
          <w:p w14:paraId="44935427" w14:textId="77777777" w:rsidR="00E63BBA" w:rsidRDefault="00000000">
            <w:pPr>
              <w:spacing w:line="240" w:lineRule="auto"/>
              <w:ind w:firstLine="0"/>
              <w:jc w:val="center"/>
            </w:pPr>
            <w:r>
              <w:rPr>
                <w:color w:val="000000"/>
                <w:sz w:val="20"/>
              </w:rPr>
              <w:t xml:space="preserve">S1: </w:t>
            </w:r>
            <w:r>
              <w:rPr>
                <w:color w:val="000000"/>
                <w:sz w:val="20"/>
              </w:rPr>
              <w:t>整合</w:t>
            </w:r>
          </w:p>
        </w:tc>
        <w:tc>
          <w:tcPr>
            <w:tcW w:w="1385" w:type="dxa"/>
            <w:tcBorders>
              <w:top w:val="nil"/>
              <w:left w:val="nil"/>
              <w:bottom w:val="nil"/>
              <w:right w:val="nil"/>
            </w:tcBorders>
            <w:tcMar>
              <w:top w:w="80" w:type="dxa"/>
              <w:left w:w="80" w:type="dxa"/>
              <w:bottom w:w="80" w:type="dxa"/>
              <w:right w:w="80" w:type="dxa"/>
            </w:tcMar>
            <w:vAlign w:val="center"/>
          </w:tcPr>
          <w:p w14:paraId="63102599" w14:textId="77777777" w:rsidR="00E63BBA" w:rsidRDefault="00000000">
            <w:pPr>
              <w:spacing w:line="240" w:lineRule="auto"/>
              <w:ind w:firstLine="0"/>
              <w:jc w:val="center"/>
            </w:pPr>
            <w:r>
              <w:rPr>
                <w:color w:val="000000"/>
                <w:sz w:val="20"/>
              </w:rPr>
              <w:t xml:space="preserve">↓ </w:t>
            </w:r>
            <w:r>
              <w:rPr>
                <w:color w:val="000000"/>
                <w:sz w:val="20"/>
              </w:rPr>
              <w:t>略降</w:t>
            </w:r>
          </w:p>
        </w:tc>
        <w:tc>
          <w:tcPr>
            <w:tcW w:w="1385" w:type="dxa"/>
            <w:tcBorders>
              <w:top w:val="nil"/>
              <w:left w:val="nil"/>
              <w:bottom w:val="nil"/>
              <w:right w:val="nil"/>
            </w:tcBorders>
            <w:tcMar>
              <w:top w:w="80" w:type="dxa"/>
              <w:left w:w="80" w:type="dxa"/>
              <w:bottom w:w="80" w:type="dxa"/>
              <w:right w:w="80" w:type="dxa"/>
            </w:tcMar>
            <w:vAlign w:val="center"/>
          </w:tcPr>
          <w:p w14:paraId="7D7F38B8" w14:textId="77777777" w:rsidR="00E63BBA" w:rsidRDefault="00000000">
            <w:pPr>
              <w:spacing w:line="240" w:lineRule="auto"/>
              <w:ind w:firstLine="0"/>
              <w:jc w:val="center"/>
            </w:pPr>
            <w:r>
              <w:rPr>
                <w:color w:val="000000"/>
                <w:sz w:val="20"/>
              </w:rPr>
              <w:t xml:space="preserve">↓↓ </w:t>
            </w:r>
            <w:r>
              <w:rPr>
                <w:color w:val="000000"/>
                <w:sz w:val="20"/>
              </w:rPr>
              <w:t>大幅下降</w:t>
            </w:r>
          </w:p>
        </w:tc>
        <w:tc>
          <w:tcPr>
            <w:tcW w:w="1385" w:type="dxa"/>
            <w:tcBorders>
              <w:top w:val="nil"/>
              <w:left w:val="nil"/>
              <w:bottom w:val="nil"/>
              <w:right w:val="nil"/>
            </w:tcBorders>
            <w:tcMar>
              <w:top w:w="80" w:type="dxa"/>
              <w:left w:w="80" w:type="dxa"/>
              <w:bottom w:w="80" w:type="dxa"/>
              <w:right w:w="80" w:type="dxa"/>
            </w:tcMar>
            <w:vAlign w:val="center"/>
          </w:tcPr>
          <w:p w14:paraId="14AFD864" w14:textId="77777777" w:rsidR="00E63BBA" w:rsidRDefault="00000000">
            <w:pPr>
              <w:spacing w:line="240" w:lineRule="auto"/>
              <w:ind w:firstLine="0"/>
              <w:jc w:val="center"/>
            </w:pPr>
            <w:r>
              <w:rPr>
                <w:color w:val="000000"/>
                <w:sz w:val="20"/>
              </w:rPr>
              <w:t xml:space="preserve">↑ </w:t>
            </w:r>
            <w:r>
              <w:rPr>
                <w:color w:val="000000"/>
                <w:sz w:val="20"/>
              </w:rPr>
              <w:t>明显上升</w:t>
            </w:r>
          </w:p>
        </w:tc>
        <w:tc>
          <w:tcPr>
            <w:tcW w:w="1385" w:type="dxa"/>
            <w:tcBorders>
              <w:top w:val="nil"/>
              <w:left w:val="nil"/>
              <w:bottom w:val="nil"/>
              <w:right w:val="nil"/>
            </w:tcBorders>
            <w:tcMar>
              <w:top w:w="80" w:type="dxa"/>
              <w:left w:w="80" w:type="dxa"/>
              <w:bottom w:w="80" w:type="dxa"/>
              <w:right w:w="80" w:type="dxa"/>
            </w:tcMar>
            <w:vAlign w:val="center"/>
          </w:tcPr>
          <w:p w14:paraId="390D3D62" w14:textId="77777777" w:rsidR="00E63BBA" w:rsidRDefault="00000000">
            <w:pPr>
              <w:spacing w:line="240" w:lineRule="auto"/>
              <w:ind w:firstLine="0"/>
              <w:jc w:val="center"/>
            </w:pPr>
            <w:r>
              <w:rPr>
                <w:color w:val="000000"/>
                <w:sz w:val="20"/>
              </w:rPr>
              <w:t xml:space="preserve">↑ </w:t>
            </w:r>
            <w:r>
              <w:rPr>
                <w:color w:val="000000"/>
                <w:sz w:val="20"/>
              </w:rPr>
              <w:t>上升</w:t>
            </w:r>
          </w:p>
        </w:tc>
        <w:tc>
          <w:tcPr>
            <w:tcW w:w="1385" w:type="dxa"/>
            <w:tcBorders>
              <w:top w:val="nil"/>
              <w:left w:val="nil"/>
              <w:bottom w:val="nil"/>
              <w:right w:val="nil"/>
            </w:tcBorders>
            <w:tcMar>
              <w:top w:w="80" w:type="dxa"/>
              <w:left w:w="80" w:type="dxa"/>
              <w:bottom w:w="80" w:type="dxa"/>
              <w:right w:w="80" w:type="dxa"/>
            </w:tcMar>
            <w:vAlign w:val="center"/>
          </w:tcPr>
          <w:p w14:paraId="4BF8B643" w14:textId="77777777" w:rsidR="00E63BBA" w:rsidRDefault="00000000">
            <w:pPr>
              <w:spacing w:line="240" w:lineRule="auto"/>
              <w:ind w:firstLine="0"/>
              <w:jc w:val="center"/>
              <w:rPr>
                <w:lang w:eastAsia="zh-CN"/>
              </w:rPr>
            </w:pPr>
            <w:r>
              <w:rPr>
                <w:color w:val="000000"/>
                <w:sz w:val="20"/>
                <w:lang w:eastAsia="zh-CN"/>
              </w:rPr>
              <w:t>仓库节省</w:t>
            </w:r>
            <w:r>
              <w:rPr>
                <w:color w:val="000000"/>
                <w:sz w:val="20"/>
                <w:lang w:eastAsia="zh-CN"/>
              </w:rPr>
              <w:t xml:space="preserve"> vs </w:t>
            </w:r>
            <w:r>
              <w:rPr>
                <w:color w:val="000000"/>
                <w:sz w:val="20"/>
                <w:lang w:eastAsia="zh-CN"/>
              </w:rPr>
              <w:t>配送增加，需定量验证</w:t>
            </w:r>
          </w:p>
        </w:tc>
      </w:tr>
      <w:tr w:rsidR="00E63BBA" w14:paraId="1ECD1D42" w14:textId="77777777">
        <w:trPr>
          <w:cantSplit/>
          <w:jc w:val="center"/>
        </w:trPr>
        <w:tc>
          <w:tcPr>
            <w:tcW w:w="1385" w:type="dxa"/>
            <w:tcBorders>
              <w:top w:val="nil"/>
              <w:left w:val="nil"/>
              <w:bottom w:val="nil"/>
              <w:right w:val="nil"/>
            </w:tcBorders>
            <w:tcMar>
              <w:top w:w="80" w:type="dxa"/>
              <w:left w:w="80" w:type="dxa"/>
              <w:bottom w:w="80" w:type="dxa"/>
              <w:right w:w="80" w:type="dxa"/>
            </w:tcMar>
            <w:vAlign w:val="center"/>
          </w:tcPr>
          <w:p w14:paraId="672C2D05" w14:textId="77777777" w:rsidR="00E63BBA" w:rsidRDefault="00000000">
            <w:pPr>
              <w:spacing w:line="240" w:lineRule="auto"/>
              <w:ind w:firstLine="0"/>
              <w:jc w:val="center"/>
            </w:pPr>
            <w:r>
              <w:rPr>
                <w:color w:val="000000"/>
                <w:sz w:val="20"/>
              </w:rPr>
              <w:lastRenderedPageBreak/>
              <w:t xml:space="preserve">S2: </w:t>
            </w:r>
            <w:r>
              <w:rPr>
                <w:color w:val="000000"/>
                <w:sz w:val="20"/>
              </w:rPr>
              <w:t>铁路替代</w:t>
            </w:r>
          </w:p>
        </w:tc>
        <w:tc>
          <w:tcPr>
            <w:tcW w:w="1385" w:type="dxa"/>
            <w:tcBorders>
              <w:top w:val="nil"/>
              <w:left w:val="nil"/>
              <w:bottom w:val="nil"/>
              <w:right w:val="nil"/>
            </w:tcBorders>
            <w:tcMar>
              <w:top w:w="80" w:type="dxa"/>
              <w:left w:w="80" w:type="dxa"/>
              <w:bottom w:w="80" w:type="dxa"/>
              <w:right w:w="80" w:type="dxa"/>
            </w:tcMar>
            <w:vAlign w:val="center"/>
          </w:tcPr>
          <w:p w14:paraId="24C7FA26" w14:textId="77777777" w:rsidR="00E63BBA" w:rsidRDefault="00000000">
            <w:pPr>
              <w:spacing w:line="240" w:lineRule="auto"/>
              <w:ind w:firstLine="0"/>
              <w:jc w:val="center"/>
            </w:pPr>
            <w:r>
              <w:rPr>
                <w:color w:val="000000"/>
                <w:sz w:val="20"/>
              </w:rPr>
              <w:t xml:space="preserve">↓↓ </w:t>
            </w:r>
            <w:r>
              <w:rPr>
                <w:color w:val="000000"/>
                <w:sz w:val="20"/>
              </w:rPr>
              <w:t>大幅下降</w:t>
            </w:r>
          </w:p>
        </w:tc>
        <w:tc>
          <w:tcPr>
            <w:tcW w:w="1385" w:type="dxa"/>
            <w:tcBorders>
              <w:top w:val="nil"/>
              <w:left w:val="nil"/>
              <w:bottom w:val="nil"/>
              <w:right w:val="nil"/>
            </w:tcBorders>
            <w:tcMar>
              <w:top w:w="80" w:type="dxa"/>
              <w:left w:w="80" w:type="dxa"/>
              <w:bottom w:w="80" w:type="dxa"/>
              <w:right w:w="80" w:type="dxa"/>
            </w:tcMar>
            <w:vAlign w:val="center"/>
          </w:tcPr>
          <w:p w14:paraId="26D45BC6"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nil"/>
              <w:right w:val="nil"/>
            </w:tcBorders>
            <w:tcMar>
              <w:top w:w="80" w:type="dxa"/>
              <w:left w:w="80" w:type="dxa"/>
              <w:bottom w:w="80" w:type="dxa"/>
              <w:right w:w="80" w:type="dxa"/>
            </w:tcMar>
            <w:vAlign w:val="center"/>
          </w:tcPr>
          <w:p w14:paraId="3BD177D9"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nil"/>
              <w:right w:val="nil"/>
            </w:tcBorders>
            <w:tcMar>
              <w:top w:w="80" w:type="dxa"/>
              <w:left w:w="80" w:type="dxa"/>
              <w:bottom w:w="80" w:type="dxa"/>
              <w:right w:w="80" w:type="dxa"/>
            </w:tcMar>
            <w:vAlign w:val="center"/>
          </w:tcPr>
          <w:p w14:paraId="6DEF8D28" w14:textId="77777777" w:rsidR="00E63BBA" w:rsidRDefault="00000000">
            <w:pPr>
              <w:spacing w:line="240" w:lineRule="auto"/>
              <w:ind w:firstLine="0"/>
              <w:jc w:val="center"/>
            </w:pPr>
            <w:r>
              <w:rPr>
                <w:color w:val="000000"/>
                <w:sz w:val="20"/>
              </w:rPr>
              <w:t xml:space="preserve">↑ </w:t>
            </w:r>
            <w:r>
              <w:rPr>
                <w:color w:val="000000"/>
                <w:sz w:val="20"/>
              </w:rPr>
              <w:t>略升</w:t>
            </w:r>
          </w:p>
        </w:tc>
        <w:tc>
          <w:tcPr>
            <w:tcW w:w="1385" w:type="dxa"/>
            <w:tcBorders>
              <w:top w:val="nil"/>
              <w:left w:val="nil"/>
              <w:bottom w:val="nil"/>
              <w:right w:val="nil"/>
            </w:tcBorders>
            <w:tcMar>
              <w:top w:w="80" w:type="dxa"/>
              <w:left w:w="80" w:type="dxa"/>
              <w:bottom w:w="80" w:type="dxa"/>
              <w:right w:w="80" w:type="dxa"/>
            </w:tcMar>
            <w:vAlign w:val="center"/>
          </w:tcPr>
          <w:p w14:paraId="1A0722C2" w14:textId="77777777" w:rsidR="00E63BBA" w:rsidRDefault="00000000">
            <w:pPr>
              <w:spacing w:line="240" w:lineRule="auto"/>
              <w:ind w:firstLine="0"/>
              <w:jc w:val="center"/>
              <w:rPr>
                <w:lang w:eastAsia="zh-CN"/>
              </w:rPr>
            </w:pPr>
            <w:r>
              <w:rPr>
                <w:color w:val="000000"/>
                <w:sz w:val="20"/>
                <w:lang w:eastAsia="zh-CN"/>
              </w:rPr>
              <w:t>成本改善显著，实施风险可控</w:t>
            </w:r>
          </w:p>
        </w:tc>
      </w:tr>
      <w:tr w:rsidR="00E63BBA" w14:paraId="2F239368" w14:textId="77777777">
        <w:trPr>
          <w:cantSplit/>
          <w:jc w:val="center"/>
        </w:trPr>
        <w:tc>
          <w:tcPr>
            <w:tcW w:w="1385" w:type="dxa"/>
            <w:tcBorders>
              <w:top w:val="nil"/>
              <w:left w:val="nil"/>
              <w:bottom w:val="nil"/>
              <w:right w:val="nil"/>
            </w:tcBorders>
            <w:tcMar>
              <w:top w:w="80" w:type="dxa"/>
              <w:left w:w="80" w:type="dxa"/>
              <w:bottom w:w="80" w:type="dxa"/>
              <w:right w:w="80" w:type="dxa"/>
            </w:tcMar>
            <w:vAlign w:val="center"/>
          </w:tcPr>
          <w:p w14:paraId="3DE829F8" w14:textId="77777777" w:rsidR="00E63BBA" w:rsidRDefault="00000000">
            <w:pPr>
              <w:spacing w:line="240" w:lineRule="auto"/>
              <w:ind w:firstLine="0"/>
              <w:jc w:val="center"/>
            </w:pPr>
            <w:r>
              <w:rPr>
                <w:color w:val="000000"/>
                <w:sz w:val="20"/>
              </w:rPr>
              <w:t xml:space="preserve">S3: </w:t>
            </w:r>
            <w:r>
              <w:rPr>
                <w:color w:val="000000"/>
                <w:sz w:val="20"/>
              </w:rPr>
              <w:t>海运组合</w:t>
            </w:r>
          </w:p>
        </w:tc>
        <w:tc>
          <w:tcPr>
            <w:tcW w:w="1385" w:type="dxa"/>
            <w:tcBorders>
              <w:top w:val="nil"/>
              <w:left w:val="nil"/>
              <w:bottom w:val="nil"/>
              <w:right w:val="nil"/>
            </w:tcBorders>
            <w:tcMar>
              <w:top w:w="80" w:type="dxa"/>
              <w:left w:w="80" w:type="dxa"/>
              <w:bottom w:w="80" w:type="dxa"/>
              <w:right w:w="80" w:type="dxa"/>
            </w:tcMar>
            <w:vAlign w:val="center"/>
          </w:tcPr>
          <w:p w14:paraId="0E9EE364" w14:textId="77777777" w:rsidR="00E63BBA" w:rsidRDefault="00000000">
            <w:pPr>
              <w:spacing w:line="240" w:lineRule="auto"/>
              <w:ind w:firstLine="0"/>
              <w:jc w:val="center"/>
            </w:pPr>
            <w:r>
              <w:rPr>
                <w:color w:val="000000"/>
                <w:sz w:val="20"/>
              </w:rPr>
              <w:t xml:space="preserve">↓ </w:t>
            </w:r>
            <w:r>
              <w:rPr>
                <w:color w:val="000000"/>
                <w:sz w:val="20"/>
              </w:rPr>
              <w:t>下降</w:t>
            </w:r>
          </w:p>
        </w:tc>
        <w:tc>
          <w:tcPr>
            <w:tcW w:w="1385" w:type="dxa"/>
            <w:tcBorders>
              <w:top w:val="nil"/>
              <w:left w:val="nil"/>
              <w:bottom w:val="nil"/>
              <w:right w:val="nil"/>
            </w:tcBorders>
            <w:tcMar>
              <w:top w:w="80" w:type="dxa"/>
              <w:left w:w="80" w:type="dxa"/>
              <w:bottom w:w="80" w:type="dxa"/>
              <w:right w:w="80" w:type="dxa"/>
            </w:tcMar>
            <w:vAlign w:val="center"/>
          </w:tcPr>
          <w:p w14:paraId="00863412"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nil"/>
              <w:right w:val="nil"/>
            </w:tcBorders>
            <w:tcMar>
              <w:top w:w="80" w:type="dxa"/>
              <w:left w:w="80" w:type="dxa"/>
              <w:bottom w:w="80" w:type="dxa"/>
              <w:right w:w="80" w:type="dxa"/>
            </w:tcMar>
            <w:vAlign w:val="center"/>
          </w:tcPr>
          <w:p w14:paraId="3788479E"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nil"/>
              <w:right w:val="nil"/>
            </w:tcBorders>
            <w:tcMar>
              <w:top w:w="80" w:type="dxa"/>
              <w:left w:w="80" w:type="dxa"/>
              <w:bottom w:w="80" w:type="dxa"/>
              <w:right w:w="80" w:type="dxa"/>
            </w:tcMar>
            <w:vAlign w:val="center"/>
          </w:tcPr>
          <w:p w14:paraId="02305145" w14:textId="77777777" w:rsidR="00E63BBA" w:rsidRDefault="00000000">
            <w:pPr>
              <w:spacing w:line="240" w:lineRule="auto"/>
              <w:ind w:firstLine="0"/>
              <w:jc w:val="center"/>
            </w:pPr>
            <w:r>
              <w:rPr>
                <w:color w:val="000000"/>
                <w:sz w:val="20"/>
              </w:rPr>
              <w:t xml:space="preserve">↑ </w:t>
            </w:r>
            <w:r>
              <w:rPr>
                <w:color w:val="000000"/>
                <w:sz w:val="20"/>
              </w:rPr>
              <w:t>上升</w:t>
            </w:r>
          </w:p>
        </w:tc>
        <w:tc>
          <w:tcPr>
            <w:tcW w:w="1385" w:type="dxa"/>
            <w:tcBorders>
              <w:top w:val="nil"/>
              <w:left w:val="nil"/>
              <w:bottom w:val="nil"/>
              <w:right w:val="nil"/>
            </w:tcBorders>
            <w:tcMar>
              <w:top w:w="80" w:type="dxa"/>
              <w:left w:w="80" w:type="dxa"/>
              <w:bottom w:w="80" w:type="dxa"/>
              <w:right w:w="80" w:type="dxa"/>
            </w:tcMar>
            <w:vAlign w:val="center"/>
          </w:tcPr>
          <w:p w14:paraId="12AA6CFB" w14:textId="77777777" w:rsidR="00E63BBA" w:rsidRDefault="00000000">
            <w:pPr>
              <w:spacing w:line="240" w:lineRule="auto"/>
              <w:ind w:firstLine="0"/>
              <w:jc w:val="center"/>
              <w:rPr>
                <w:lang w:eastAsia="zh-CN"/>
              </w:rPr>
            </w:pPr>
            <w:r>
              <w:rPr>
                <w:color w:val="000000"/>
                <w:sz w:val="20"/>
                <w:lang w:eastAsia="zh-CN"/>
              </w:rPr>
              <w:t>适合港口邻近</w:t>
            </w:r>
            <w:r>
              <w:rPr>
                <w:color w:val="000000"/>
                <w:sz w:val="20"/>
                <w:lang w:eastAsia="zh-CN"/>
              </w:rPr>
              <w:t>DC</w:t>
            </w:r>
            <w:r>
              <w:rPr>
                <w:color w:val="000000"/>
                <w:sz w:val="20"/>
                <w:lang w:eastAsia="zh-CN"/>
              </w:rPr>
              <w:t>，操作复杂度高</w:t>
            </w:r>
          </w:p>
        </w:tc>
      </w:tr>
      <w:tr w:rsidR="00E63BBA" w14:paraId="07B206C3" w14:textId="77777777">
        <w:trPr>
          <w:cantSplit/>
          <w:jc w:val="center"/>
        </w:trPr>
        <w:tc>
          <w:tcPr>
            <w:tcW w:w="1385" w:type="dxa"/>
            <w:tcBorders>
              <w:top w:val="nil"/>
              <w:left w:val="nil"/>
              <w:bottom w:val="single" w:sz="12" w:space="0" w:color="000000"/>
              <w:right w:val="nil"/>
            </w:tcBorders>
            <w:tcMar>
              <w:top w:w="80" w:type="dxa"/>
              <w:left w:w="80" w:type="dxa"/>
              <w:bottom w:w="80" w:type="dxa"/>
              <w:right w:w="80" w:type="dxa"/>
            </w:tcMar>
            <w:vAlign w:val="center"/>
          </w:tcPr>
          <w:p w14:paraId="02DACC6F" w14:textId="77777777" w:rsidR="00E63BBA" w:rsidRDefault="00000000">
            <w:pPr>
              <w:spacing w:line="240" w:lineRule="auto"/>
              <w:ind w:firstLine="0"/>
              <w:jc w:val="center"/>
            </w:pPr>
            <w:r>
              <w:rPr>
                <w:color w:val="000000"/>
                <w:sz w:val="20"/>
              </w:rPr>
              <w:t xml:space="preserve">S4: </w:t>
            </w:r>
            <w:r>
              <w:rPr>
                <w:color w:val="000000"/>
                <w:sz w:val="20"/>
              </w:rPr>
              <w:t>全面铁路</w:t>
            </w:r>
          </w:p>
        </w:tc>
        <w:tc>
          <w:tcPr>
            <w:tcW w:w="1385" w:type="dxa"/>
            <w:tcBorders>
              <w:top w:val="nil"/>
              <w:left w:val="nil"/>
              <w:bottom w:val="single" w:sz="12" w:space="0" w:color="000000"/>
              <w:right w:val="nil"/>
            </w:tcBorders>
            <w:tcMar>
              <w:top w:w="80" w:type="dxa"/>
              <w:left w:w="80" w:type="dxa"/>
              <w:bottom w:w="80" w:type="dxa"/>
              <w:right w:w="80" w:type="dxa"/>
            </w:tcMar>
            <w:vAlign w:val="center"/>
          </w:tcPr>
          <w:p w14:paraId="1EE17506" w14:textId="77777777" w:rsidR="00E63BBA" w:rsidRDefault="00000000">
            <w:pPr>
              <w:spacing w:line="240" w:lineRule="auto"/>
              <w:ind w:firstLine="0"/>
              <w:jc w:val="center"/>
            </w:pPr>
            <w:r>
              <w:rPr>
                <w:color w:val="000000"/>
                <w:sz w:val="20"/>
              </w:rPr>
              <w:t xml:space="preserve">↓↓ </w:t>
            </w:r>
            <w:r>
              <w:rPr>
                <w:color w:val="000000"/>
                <w:sz w:val="20"/>
              </w:rPr>
              <w:t>大幅下降</w:t>
            </w:r>
          </w:p>
        </w:tc>
        <w:tc>
          <w:tcPr>
            <w:tcW w:w="1385" w:type="dxa"/>
            <w:tcBorders>
              <w:top w:val="nil"/>
              <w:left w:val="nil"/>
              <w:bottom w:val="single" w:sz="12" w:space="0" w:color="000000"/>
              <w:right w:val="nil"/>
            </w:tcBorders>
            <w:tcMar>
              <w:top w:w="80" w:type="dxa"/>
              <w:left w:w="80" w:type="dxa"/>
              <w:bottom w:w="80" w:type="dxa"/>
              <w:right w:w="80" w:type="dxa"/>
            </w:tcMar>
            <w:vAlign w:val="center"/>
          </w:tcPr>
          <w:p w14:paraId="4A533196"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single" w:sz="12" w:space="0" w:color="000000"/>
              <w:right w:val="nil"/>
            </w:tcBorders>
            <w:tcMar>
              <w:top w:w="80" w:type="dxa"/>
              <w:left w:w="80" w:type="dxa"/>
              <w:bottom w:w="80" w:type="dxa"/>
              <w:right w:w="80" w:type="dxa"/>
            </w:tcMar>
            <w:vAlign w:val="center"/>
          </w:tcPr>
          <w:p w14:paraId="74A22021" w14:textId="77777777" w:rsidR="00E63BBA" w:rsidRDefault="00000000">
            <w:pPr>
              <w:spacing w:line="240" w:lineRule="auto"/>
              <w:ind w:firstLine="0"/>
              <w:jc w:val="center"/>
            </w:pPr>
            <w:r>
              <w:rPr>
                <w:color w:val="000000"/>
                <w:sz w:val="20"/>
              </w:rPr>
              <w:t xml:space="preserve">→ </w:t>
            </w:r>
            <w:r>
              <w:rPr>
                <w:color w:val="000000"/>
                <w:sz w:val="20"/>
              </w:rPr>
              <w:t>不变</w:t>
            </w:r>
          </w:p>
        </w:tc>
        <w:tc>
          <w:tcPr>
            <w:tcW w:w="1385" w:type="dxa"/>
            <w:tcBorders>
              <w:top w:val="nil"/>
              <w:left w:val="nil"/>
              <w:bottom w:val="single" w:sz="12" w:space="0" w:color="000000"/>
              <w:right w:val="nil"/>
            </w:tcBorders>
            <w:tcMar>
              <w:top w:w="80" w:type="dxa"/>
              <w:left w:w="80" w:type="dxa"/>
              <w:bottom w:w="80" w:type="dxa"/>
              <w:right w:w="80" w:type="dxa"/>
            </w:tcMar>
            <w:vAlign w:val="center"/>
          </w:tcPr>
          <w:p w14:paraId="0AB78DA0" w14:textId="77777777" w:rsidR="00E63BBA" w:rsidRDefault="00000000">
            <w:pPr>
              <w:spacing w:line="240" w:lineRule="auto"/>
              <w:ind w:firstLine="0"/>
              <w:jc w:val="center"/>
            </w:pPr>
            <w:r>
              <w:rPr>
                <w:color w:val="000000"/>
                <w:sz w:val="20"/>
              </w:rPr>
              <w:t xml:space="preserve">↑↑ </w:t>
            </w:r>
            <w:r>
              <w:rPr>
                <w:color w:val="000000"/>
                <w:sz w:val="20"/>
              </w:rPr>
              <w:t>大幅上升</w:t>
            </w:r>
          </w:p>
        </w:tc>
        <w:tc>
          <w:tcPr>
            <w:tcW w:w="1385" w:type="dxa"/>
            <w:tcBorders>
              <w:top w:val="nil"/>
              <w:left w:val="nil"/>
              <w:bottom w:val="single" w:sz="12" w:space="0" w:color="000000"/>
              <w:right w:val="nil"/>
            </w:tcBorders>
            <w:tcMar>
              <w:top w:w="80" w:type="dxa"/>
              <w:left w:w="80" w:type="dxa"/>
              <w:bottom w:w="80" w:type="dxa"/>
              <w:right w:w="80" w:type="dxa"/>
            </w:tcMar>
            <w:vAlign w:val="center"/>
          </w:tcPr>
          <w:p w14:paraId="3EC0DB83" w14:textId="77777777" w:rsidR="00E63BBA" w:rsidRDefault="00000000">
            <w:pPr>
              <w:spacing w:line="240" w:lineRule="auto"/>
              <w:ind w:firstLine="0"/>
              <w:jc w:val="center"/>
              <w:rPr>
                <w:lang w:eastAsia="zh-CN"/>
              </w:rPr>
            </w:pPr>
            <w:r>
              <w:rPr>
                <w:color w:val="000000"/>
                <w:sz w:val="20"/>
                <w:lang w:eastAsia="zh-CN"/>
              </w:rPr>
              <w:t>车皮方案不可行，改良版可探索</w:t>
            </w:r>
          </w:p>
        </w:tc>
      </w:tr>
    </w:tbl>
    <w:p w14:paraId="53BA15F8" w14:textId="77777777" w:rsidR="00E63BBA" w:rsidRDefault="00000000">
      <w:pPr>
        <w:ind w:firstLine="0"/>
        <w:jc w:val="center"/>
        <w:rPr>
          <w:lang w:eastAsia="zh-CN"/>
        </w:rPr>
      </w:pPr>
      <w:r>
        <w:rPr>
          <w:sz w:val="18"/>
          <w:lang w:eastAsia="zh-CN"/>
        </w:rPr>
        <w:t>表</w:t>
      </w:r>
      <w:r>
        <w:rPr>
          <w:sz w:val="18"/>
          <w:lang w:eastAsia="zh-CN"/>
        </w:rPr>
        <w:t xml:space="preserve">2  </w:t>
      </w:r>
      <w:r>
        <w:rPr>
          <w:sz w:val="18"/>
          <w:lang w:eastAsia="zh-CN"/>
        </w:rPr>
        <w:t>多情景定性对比</w:t>
      </w:r>
    </w:p>
    <w:p w14:paraId="24E9AE9A" w14:textId="04A96DEF" w:rsidR="00E63BBA" w:rsidRDefault="00000000">
      <w:pPr>
        <w:rPr>
          <w:lang w:eastAsia="zh-CN"/>
        </w:rPr>
      </w:pPr>
      <w:r>
        <w:rPr>
          <w:lang w:eastAsia="zh-CN"/>
        </w:rPr>
        <w:t>综合来看，情景</w:t>
      </w:r>
      <w:r>
        <w:rPr>
          <w:lang w:eastAsia="zh-CN"/>
        </w:rPr>
        <w:t>2</w:t>
      </w:r>
      <w:r>
        <w:rPr>
          <w:lang w:eastAsia="zh-CN"/>
        </w:rPr>
        <w:t>（选择性铁路替代）成本改善最为直接，实施风险可控，建议作为近期优化方向。长期而言，情景</w:t>
      </w:r>
      <w:r>
        <w:rPr>
          <w:lang w:eastAsia="zh-CN"/>
        </w:rPr>
        <w:t>1</w:t>
      </w:r>
      <w:r>
        <w:rPr>
          <w:lang w:eastAsia="zh-CN"/>
        </w:rPr>
        <w:t>与情景</w:t>
      </w:r>
      <w:r>
        <w:rPr>
          <w:lang w:eastAsia="zh-CN"/>
        </w:rPr>
        <w:t>2</w:t>
      </w:r>
      <w:r>
        <w:rPr>
          <w:lang w:eastAsia="zh-CN"/>
        </w:rPr>
        <w:t>的结合</w:t>
      </w:r>
      <w:r>
        <w:rPr>
          <w:lang w:eastAsia="zh-CN"/>
        </w:rPr>
        <w:t>——</w:t>
      </w:r>
      <w:r>
        <w:rPr>
          <w:lang w:eastAsia="zh-CN"/>
        </w:rPr>
        <w:t>适度整合</w:t>
      </w:r>
      <w:r>
        <w:rPr>
          <w:lang w:eastAsia="zh-CN"/>
        </w:rPr>
        <w:t>DC</w:t>
      </w:r>
      <w:r>
        <w:rPr>
          <w:lang w:eastAsia="zh-CN"/>
        </w:rPr>
        <w:t>数量后对枢纽</w:t>
      </w:r>
      <w:r>
        <w:rPr>
          <w:lang w:eastAsia="zh-CN"/>
        </w:rPr>
        <w:t>DC</w:t>
      </w:r>
      <w:r>
        <w:rPr>
          <w:lang w:eastAsia="zh-CN"/>
        </w:rPr>
        <w:t>实施铁路干线</w:t>
      </w:r>
      <w:r>
        <w:rPr>
          <w:lang w:eastAsia="zh-CN"/>
        </w:rPr>
        <w:t>——</w:t>
      </w:r>
      <w:r>
        <w:rPr>
          <w:lang w:eastAsia="zh-CN"/>
        </w:rPr>
        <w:t>有望实现仓库成本和运输成本的双重优化，值得进一步定量分析。</w:t>
      </w:r>
    </w:p>
    <w:p w14:paraId="1AD1173F" w14:textId="77777777" w:rsidR="00B75ADE" w:rsidRDefault="00B75ADE">
      <w:pPr>
        <w:rPr>
          <w:lang w:eastAsia="zh-CN"/>
        </w:rPr>
      </w:pPr>
    </w:p>
    <w:p w14:paraId="6EBAC811" w14:textId="277FE99C" w:rsidR="00B75ADE" w:rsidRDefault="00B75ADE" w:rsidP="00B75ADE">
      <w:pPr>
        <w:jc w:val="center"/>
        <w:rPr>
          <w:lang w:eastAsia="zh-CN"/>
        </w:rPr>
      </w:pPr>
      <w:r>
        <w:rPr>
          <w:rFonts w:hint="eastAsia"/>
          <w:noProof/>
          <w:lang w:eastAsia="zh-CN"/>
        </w:rPr>
        <w:drawing>
          <wp:inline distT="0" distB="0" distL="0" distR="0" wp14:anchorId="7131C7AE" wp14:editId="405E3BD2">
            <wp:extent cx="5724012" cy="3505200"/>
            <wp:effectExtent l="0" t="0" r="0" b="0"/>
            <wp:docPr id="5917167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16783" name="图片 591716783"/>
                    <pic:cNvPicPr/>
                  </pic:nvPicPr>
                  <pic:blipFill>
                    <a:blip r:embed="rId16"/>
                    <a:stretch>
                      <a:fillRect/>
                    </a:stretch>
                  </pic:blipFill>
                  <pic:spPr>
                    <a:xfrm>
                      <a:off x="0" y="0"/>
                      <a:ext cx="5727312" cy="3507221"/>
                    </a:xfrm>
                    <a:prstGeom prst="rect">
                      <a:avLst/>
                    </a:prstGeom>
                  </pic:spPr>
                </pic:pic>
              </a:graphicData>
            </a:graphic>
          </wp:inline>
        </w:drawing>
      </w:r>
    </w:p>
    <w:p w14:paraId="33DC05D0" w14:textId="77777777" w:rsidR="00E63BBA" w:rsidRDefault="00000000">
      <w:pPr>
        <w:spacing w:before="240" w:after="80"/>
        <w:ind w:firstLine="0"/>
        <w:jc w:val="center"/>
        <w:rPr>
          <w:b/>
          <w:sz w:val="20"/>
          <w:lang w:eastAsia="zh-CN"/>
        </w:rPr>
      </w:pPr>
      <w:r>
        <w:rPr>
          <w:b/>
          <w:sz w:val="20"/>
          <w:lang w:eastAsia="zh-CN"/>
        </w:rPr>
        <w:t>【图</w:t>
      </w:r>
      <w:r>
        <w:rPr>
          <w:b/>
          <w:sz w:val="20"/>
          <w:lang w:eastAsia="zh-CN"/>
        </w:rPr>
        <w:t>3</w:t>
      </w:r>
      <w:r>
        <w:rPr>
          <w:b/>
          <w:sz w:val="20"/>
          <w:lang w:eastAsia="zh-CN"/>
        </w:rPr>
        <w:t>：多情景总成本对比图】</w:t>
      </w:r>
    </w:p>
    <w:p w14:paraId="3F4F5FA0" w14:textId="1FC622FB" w:rsidR="00B75ADE" w:rsidRDefault="00B75ADE">
      <w:pPr>
        <w:spacing w:before="240" w:after="80"/>
        <w:ind w:firstLine="0"/>
        <w:jc w:val="center"/>
        <w:rPr>
          <w:lang w:eastAsia="zh-CN"/>
        </w:rPr>
      </w:pPr>
      <w:r>
        <w:rPr>
          <w:rFonts w:hint="eastAsia"/>
          <w:noProof/>
          <w:lang w:eastAsia="zh-CN"/>
        </w:rPr>
        <w:lastRenderedPageBreak/>
        <w:drawing>
          <wp:inline distT="0" distB="0" distL="0" distR="0" wp14:anchorId="0F38B7ED" wp14:editId="4E27471A">
            <wp:extent cx="5453981" cy="4519613"/>
            <wp:effectExtent l="0" t="0" r="0" b="0"/>
            <wp:docPr id="13983310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31094" name="图片 1398331094"/>
                    <pic:cNvPicPr/>
                  </pic:nvPicPr>
                  <pic:blipFill>
                    <a:blip r:embed="rId17"/>
                    <a:stretch>
                      <a:fillRect/>
                    </a:stretch>
                  </pic:blipFill>
                  <pic:spPr>
                    <a:xfrm>
                      <a:off x="0" y="0"/>
                      <a:ext cx="5456124" cy="4521389"/>
                    </a:xfrm>
                    <a:prstGeom prst="rect">
                      <a:avLst/>
                    </a:prstGeom>
                  </pic:spPr>
                </pic:pic>
              </a:graphicData>
            </a:graphic>
          </wp:inline>
        </w:drawing>
      </w:r>
    </w:p>
    <w:p w14:paraId="6609966C" w14:textId="77777777" w:rsidR="00E63BBA" w:rsidRDefault="00000000">
      <w:pPr>
        <w:spacing w:before="240" w:after="80"/>
        <w:ind w:firstLine="0"/>
        <w:jc w:val="center"/>
        <w:rPr>
          <w:lang w:eastAsia="zh-CN"/>
        </w:rPr>
      </w:pPr>
      <w:r>
        <w:rPr>
          <w:b/>
          <w:sz w:val="20"/>
          <w:lang w:eastAsia="zh-CN"/>
        </w:rPr>
        <w:t>【图</w:t>
      </w:r>
      <w:r>
        <w:rPr>
          <w:b/>
          <w:sz w:val="20"/>
          <w:lang w:eastAsia="zh-CN"/>
        </w:rPr>
        <w:t>4</w:t>
      </w:r>
      <w:r>
        <w:rPr>
          <w:b/>
          <w:sz w:val="20"/>
          <w:lang w:eastAsia="zh-CN"/>
        </w:rPr>
        <w:t>：情景</w:t>
      </w:r>
      <w:r>
        <w:rPr>
          <w:b/>
          <w:sz w:val="20"/>
          <w:lang w:eastAsia="zh-CN"/>
        </w:rPr>
        <w:t>1</w:t>
      </w:r>
      <w:r>
        <w:rPr>
          <w:b/>
          <w:sz w:val="20"/>
          <w:lang w:eastAsia="zh-CN"/>
        </w:rPr>
        <w:t>整合网络示意图】</w:t>
      </w:r>
    </w:p>
    <w:p w14:paraId="63C2E132" w14:textId="77777777" w:rsidR="00E63BBA" w:rsidRDefault="00000000">
      <w:pPr>
        <w:pStyle w:val="1"/>
        <w:rPr>
          <w:lang w:eastAsia="zh-CN"/>
        </w:rPr>
      </w:pPr>
      <w:r>
        <w:rPr>
          <w:lang w:eastAsia="zh-CN"/>
        </w:rPr>
        <w:t xml:space="preserve">5  </w:t>
      </w:r>
      <w:r>
        <w:rPr>
          <w:lang w:eastAsia="zh-CN"/>
        </w:rPr>
        <w:t>结论与建议</w:t>
      </w:r>
    </w:p>
    <w:p w14:paraId="46462783" w14:textId="77777777" w:rsidR="00E63BBA" w:rsidRDefault="00000000">
      <w:pPr>
        <w:rPr>
          <w:lang w:eastAsia="zh-CN"/>
        </w:rPr>
      </w:pPr>
      <w:r>
        <w:rPr>
          <w:lang w:eastAsia="zh-CN"/>
        </w:rPr>
        <w:t>本报告对</w:t>
      </w:r>
      <w:r>
        <w:rPr>
          <w:lang w:eastAsia="zh-CN"/>
        </w:rPr>
        <w:t>PPP</w:t>
      </w:r>
      <w:r>
        <w:rPr>
          <w:lang w:eastAsia="zh-CN"/>
        </w:rPr>
        <w:t>配送网络进行了系统分析，主要结论如下：</w:t>
      </w:r>
    </w:p>
    <w:p w14:paraId="0C669918" w14:textId="77777777" w:rsidR="00E63BBA" w:rsidRDefault="00000000">
      <w:pPr>
        <w:rPr>
          <w:lang w:eastAsia="zh-CN"/>
        </w:rPr>
      </w:pPr>
      <w:r>
        <w:rPr>
          <w:lang w:eastAsia="zh-CN"/>
        </w:rPr>
        <w:t>（</w:t>
      </w:r>
      <w:r>
        <w:rPr>
          <w:lang w:eastAsia="zh-CN"/>
        </w:rPr>
        <w:t>1</w:t>
      </w:r>
      <w:r>
        <w:rPr>
          <w:lang w:eastAsia="zh-CN"/>
        </w:rPr>
        <w:t>）干线运输占总成本</w:t>
      </w:r>
      <w:r>
        <w:rPr>
          <w:lang w:eastAsia="zh-CN"/>
        </w:rPr>
        <w:t>51%</w:t>
      </w:r>
      <w:r>
        <w:rPr>
          <w:lang w:eastAsia="zh-CN"/>
        </w:rPr>
        <w:t>，是优化的首要目标。里斯本至北欧</w:t>
      </w:r>
      <w:r>
        <w:rPr>
          <w:lang w:eastAsia="zh-CN"/>
        </w:rPr>
        <w:t>DC</w:t>
      </w:r>
      <w:r>
        <w:rPr>
          <w:lang w:eastAsia="zh-CN"/>
        </w:rPr>
        <w:t>的距离超过</w:t>
      </w:r>
      <w:r>
        <w:rPr>
          <w:lang w:eastAsia="zh-CN"/>
        </w:rPr>
        <w:t>2,400</w:t>
      </w:r>
      <w:r>
        <w:rPr>
          <w:lang w:eastAsia="zh-CN"/>
        </w:rPr>
        <w:t>公里，降低每吨公里运输费率具有显著的杠杆效应。</w:t>
      </w:r>
    </w:p>
    <w:p w14:paraId="570BF2A7" w14:textId="77777777" w:rsidR="00E63BBA" w:rsidRDefault="00000000">
      <w:pPr>
        <w:rPr>
          <w:lang w:eastAsia="zh-CN"/>
        </w:rPr>
      </w:pPr>
      <w:r>
        <w:rPr>
          <w:lang w:eastAsia="zh-CN"/>
        </w:rPr>
        <w:t>（</w:t>
      </w:r>
      <w:r>
        <w:rPr>
          <w:lang w:eastAsia="zh-CN"/>
        </w:rPr>
        <w:t>2</w:t>
      </w:r>
      <w:r>
        <w:rPr>
          <w:lang w:eastAsia="zh-CN"/>
        </w:rPr>
        <w:t>）</w:t>
      </w:r>
      <w:r>
        <w:rPr>
          <w:lang w:eastAsia="zh-CN"/>
        </w:rPr>
        <w:t>DC</w:t>
      </w:r>
      <w:r>
        <w:rPr>
          <w:lang w:eastAsia="zh-CN"/>
        </w:rPr>
        <w:t>吞吐量分布不均（</w:t>
      </w:r>
      <w:r>
        <w:rPr>
          <w:lang w:eastAsia="zh-CN"/>
        </w:rPr>
        <w:t>249-700</w:t>
      </w:r>
      <w:r>
        <w:rPr>
          <w:lang w:eastAsia="zh-CN"/>
        </w:rPr>
        <w:t>吨</w:t>
      </w:r>
      <w:r>
        <w:rPr>
          <w:lang w:eastAsia="zh-CN"/>
        </w:rPr>
        <w:t>/</w:t>
      </w:r>
      <w:r>
        <w:rPr>
          <w:lang w:eastAsia="zh-CN"/>
        </w:rPr>
        <w:t>周），低吞吐量</w:t>
      </w:r>
      <w:r>
        <w:rPr>
          <w:lang w:eastAsia="zh-CN"/>
        </w:rPr>
        <w:t>DC</w:t>
      </w:r>
      <w:r>
        <w:rPr>
          <w:lang w:eastAsia="zh-CN"/>
        </w:rPr>
        <w:t>的固定成本负担偏高，存在整合空间。</w:t>
      </w:r>
    </w:p>
    <w:p w14:paraId="0068CEB5" w14:textId="77777777" w:rsidR="00E63BBA" w:rsidRDefault="00000000">
      <w:pPr>
        <w:rPr>
          <w:lang w:eastAsia="zh-CN"/>
        </w:rPr>
      </w:pPr>
      <w:r>
        <w:rPr>
          <w:lang w:eastAsia="zh-CN"/>
        </w:rPr>
        <w:t>（</w:t>
      </w:r>
      <w:r>
        <w:rPr>
          <w:lang w:eastAsia="zh-CN"/>
        </w:rPr>
        <w:t>3</w:t>
      </w:r>
      <w:r>
        <w:rPr>
          <w:lang w:eastAsia="zh-CN"/>
        </w:rPr>
        <w:t>）铁路整车运输（</w:t>
      </w:r>
      <w:r>
        <w:rPr>
          <w:lang w:eastAsia="zh-CN"/>
        </w:rPr>
        <w:t>0.009</w:t>
      </w:r>
      <w:r>
        <w:rPr>
          <w:lang w:eastAsia="zh-CN"/>
        </w:rPr>
        <w:t>美元</w:t>
      </w:r>
      <w:r>
        <w:rPr>
          <w:lang w:eastAsia="zh-CN"/>
        </w:rPr>
        <w:t>/</w:t>
      </w:r>
      <w:r>
        <w:rPr>
          <w:lang w:eastAsia="zh-CN"/>
        </w:rPr>
        <w:t>吨</w:t>
      </w:r>
      <w:r>
        <w:rPr>
          <w:lang w:eastAsia="zh-CN"/>
        </w:rPr>
        <w:t>/</w:t>
      </w:r>
      <w:r>
        <w:rPr>
          <w:lang w:eastAsia="zh-CN"/>
        </w:rPr>
        <w:t>公里）较公路（</w:t>
      </w:r>
      <w:r>
        <w:rPr>
          <w:lang w:eastAsia="zh-CN"/>
        </w:rPr>
        <w:t>0.03</w:t>
      </w:r>
      <w:r>
        <w:rPr>
          <w:lang w:eastAsia="zh-CN"/>
        </w:rPr>
        <w:t>）降低</w:t>
      </w:r>
      <w:r>
        <w:rPr>
          <w:lang w:eastAsia="zh-CN"/>
        </w:rPr>
        <w:t>70%</w:t>
      </w:r>
      <w:r>
        <w:rPr>
          <w:lang w:eastAsia="zh-CN"/>
        </w:rPr>
        <w:t>变动成本，是当前最具吸引力的替代方案，但需解决</w:t>
      </w:r>
      <w:r>
        <w:rPr>
          <w:lang w:eastAsia="zh-CN"/>
        </w:rPr>
        <w:t>2,000</w:t>
      </w:r>
      <w:r>
        <w:rPr>
          <w:lang w:eastAsia="zh-CN"/>
        </w:rPr>
        <w:t>吨最低运量的约束。</w:t>
      </w:r>
    </w:p>
    <w:p w14:paraId="4FCEA7A8" w14:textId="77777777" w:rsidR="00E63BBA" w:rsidRDefault="00000000">
      <w:pPr>
        <w:rPr>
          <w:lang w:eastAsia="zh-CN"/>
        </w:rPr>
      </w:pPr>
      <w:r>
        <w:rPr>
          <w:lang w:eastAsia="zh-CN"/>
        </w:rPr>
        <w:t>（</w:t>
      </w:r>
      <w:r>
        <w:rPr>
          <w:lang w:eastAsia="zh-CN"/>
        </w:rPr>
        <w:t>4</w:t>
      </w:r>
      <w:r>
        <w:rPr>
          <w:lang w:eastAsia="zh-CN"/>
        </w:rPr>
        <w:t>）海运</w:t>
      </w:r>
      <w:r>
        <w:rPr>
          <w:lang w:eastAsia="zh-CN"/>
        </w:rPr>
        <w:t>4</w:t>
      </w:r>
      <w:r>
        <w:rPr>
          <w:lang w:eastAsia="zh-CN"/>
        </w:rPr>
        <w:t>美元</w:t>
      </w:r>
      <w:r>
        <w:rPr>
          <w:lang w:eastAsia="zh-CN"/>
        </w:rPr>
        <w:t>/</w:t>
      </w:r>
      <w:r>
        <w:rPr>
          <w:lang w:eastAsia="zh-CN"/>
        </w:rPr>
        <w:t>吨价格优势明显，但较长的运输时间增加库存成本并降低灵活性。零散车皮铁路因运输时间长、费率高于公路而不具备经济可行性。</w:t>
      </w:r>
    </w:p>
    <w:p w14:paraId="4602B0D3" w14:textId="77777777" w:rsidR="00E63BBA" w:rsidRDefault="00000000">
      <w:pPr>
        <w:rPr>
          <w:lang w:eastAsia="zh-CN"/>
        </w:rPr>
      </w:pPr>
      <w:r>
        <w:rPr>
          <w:lang w:eastAsia="zh-CN"/>
        </w:rPr>
        <w:t>建议采用分阶段策略：近期在伦敦</w:t>
      </w:r>
      <w:r>
        <w:rPr>
          <w:lang w:eastAsia="zh-CN"/>
        </w:rPr>
        <w:t>DC</w:t>
      </w:r>
      <w:r>
        <w:rPr>
          <w:lang w:eastAsia="zh-CN"/>
        </w:rPr>
        <w:t>线路试点铁路整车运输（最长距离、最大运量，节约潜力最高）；中期评估铁路延伸至巴黎和慕尼黑</w:t>
      </w:r>
      <w:r>
        <w:rPr>
          <w:lang w:eastAsia="zh-CN"/>
        </w:rPr>
        <w:t>DC</w:t>
      </w:r>
      <w:r>
        <w:rPr>
          <w:lang w:eastAsia="zh-CN"/>
        </w:rPr>
        <w:t>的可行性；</w:t>
      </w:r>
      <w:r>
        <w:rPr>
          <w:lang w:eastAsia="zh-CN"/>
        </w:rPr>
        <w:lastRenderedPageBreak/>
        <w:t>长期探索</w:t>
      </w:r>
      <w:r>
        <w:rPr>
          <w:lang w:eastAsia="zh-CN"/>
        </w:rPr>
        <w:t>DC</w:t>
      </w:r>
      <w:r>
        <w:rPr>
          <w:lang w:eastAsia="zh-CN"/>
        </w:rPr>
        <w:t>整合与铁路相结合的混合策略。配套建议包括与航运公司就里斯本</w:t>
      </w:r>
      <w:r>
        <w:rPr>
          <w:lang w:eastAsia="zh-CN"/>
        </w:rPr>
        <w:t>-</w:t>
      </w:r>
      <w:r>
        <w:rPr>
          <w:lang w:eastAsia="zh-CN"/>
        </w:rPr>
        <w:t>鹿特丹航线进行接触，建立备选运输能力以增强谈判筹码。</w:t>
      </w:r>
    </w:p>
    <w:p w14:paraId="704659E1" w14:textId="77777777" w:rsidR="00E63BBA" w:rsidRDefault="00000000">
      <w:pPr>
        <w:pStyle w:val="1"/>
        <w:rPr>
          <w:lang w:eastAsia="zh-CN"/>
        </w:rPr>
      </w:pPr>
      <w:r>
        <w:rPr>
          <w:lang w:eastAsia="zh-CN"/>
        </w:rPr>
        <w:t>参考文献</w:t>
      </w:r>
    </w:p>
    <w:p w14:paraId="55F2F4AA" w14:textId="77777777" w:rsidR="00E63BBA" w:rsidRDefault="00000000">
      <w:pPr>
        <w:ind w:firstLine="0"/>
        <w:rPr>
          <w:lang w:eastAsia="zh-CN"/>
        </w:rPr>
      </w:pPr>
      <w:r>
        <w:rPr>
          <w:sz w:val="21"/>
          <w:lang w:eastAsia="zh-CN"/>
        </w:rPr>
        <w:t xml:space="preserve">[1] Liu, J. </w:t>
      </w:r>
      <w:r>
        <w:rPr>
          <w:sz w:val="21"/>
          <w:lang w:eastAsia="zh-CN"/>
        </w:rPr>
        <w:t>物流网络设计（第</w:t>
      </w:r>
      <w:r>
        <w:rPr>
          <w:sz w:val="21"/>
          <w:lang w:eastAsia="zh-CN"/>
        </w:rPr>
        <w:t>3</w:t>
      </w:r>
      <w:r>
        <w:rPr>
          <w:sz w:val="21"/>
          <w:lang w:eastAsia="zh-CN"/>
        </w:rPr>
        <w:t>讲）</w:t>
      </w:r>
      <w:r>
        <w:rPr>
          <w:sz w:val="21"/>
          <w:lang w:eastAsia="zh-CN"/>
        </w:rPr>
        <w:t xml:space="preserve">. </w:t>
      </w:r>
      <w:r>
        <w:rPr>
          <w:sz w:val="21"/>
          <w:lang w:eastAsia="zh-CN"/>
        </w:rPr>
        <w:t>供应链管理课程</w:t>
      </w:r>
      <w:r>
        <w:rPr>
          <w:sz w:val="21"/>
          <w:lang w:eastAsia="zh-CN"/>
        </w:rPr>
        <w:t>, 2025-2026(2).</w:t>
      </w:r>
    </w:p>
    <w:p w14:paraId="64A0F532" w14:textId="77777777" w:rsidR="00E63BBA" w:rsidRDefault="00000000">
      <w:pPr>
        <w:ind w:firstLine="0"/>
        <w:rPr>
          <w:lang w:eastAsia="zh-CN"/>
        </w:rPr>
      </w:pPr>
      <w:r>
        <w:rPr>
          <w:sz w:val="21"/>
          <w:lang w:eastAsia="zh-CN"/>
        </w:rPr>
        <w:t>[2] PPP</w:t>
      </w:r>
      <w:r>
        <w:rPr>
          <w:sz w:val="21"/>
          <w:lang w:eastAsia="zh-CN"/>
        </w:rPr>
        <w:t>案例资料：小组评估说明、案例数据</w:t>
      </w:r>
      <w:r>
        <w:rPr>
          <w:sz w:val="21"/>
          <w:lang w:eastAsia="zh-CN"/>
        </w:rPr>
        <w:t>(Excel)</w:t>
      </w:r>
      <w:r>
        <w:rPr>
          <w:sz w:val="21"/>
          <w:lang w:eastAsia="zh-CN"/>
        </w:rPr>
        <w:t>及案例指导</w:t>
      </w:r>
      <w:r>
        <w:rPr>
          <w:sz w:val="21"/>
          <w:lang w:eastAsia="zh-CN"/>
        </w:rPr>
        <w:t xml:space="preserve">(PPT). </w:t>
      </w:r>
      <w:r>
        <w:rPr>
          <w:sz w:val="21"/>
          <w:lang w:eastAsia="zh-CN"/>
        </w:rPr>
        <w:t>供应链管理课程</w:t>
      </w:r>
      <w:r>
        <w:rPr>
          <w:sz w:val="21"/>
          <w:lang w:eastAsia="zh-CN"/>
        </w:rPr>
        <w:t>, 2025-2026(2).</w:t>
      </w:r>
    </w:p>
    <w:p w14:paraId="0DEB7E65" w14:textId="77777777" w:rsidR="00E63BBA" w:rsidRDefault="00000000">
      <w:pPr>
        <w:ind w:firstLine="0"/>
      </w:pPr>
      <w:r>
        <w:rPr>
          <w:sz w:val="21"/>
        </w:rPr>
        <w:t>[3] Chopra S, Meindl P. Supply Chain Management: Strategy, Planning, and Operation. 7th ed. Pearson, 2019.</w:t>
      </w:r>
    </w:p>
    <w:p w14:paraId="1E5CAC81" w14:textId="77777777" w:rsidR="00E63BBA" w:rsidRDefault="00000000">
      <w:pPr>
        <w:ind w:firstLine="0"/>
      </w:pPr>
      <w:r>
        <w:rPr>
          <w:sz w:val="21"/>
        </w:rPr>
        <w:t>[4] Christopher M. Logistics &amp; Supply Chain Management. 5th ed. FT Publishing, 2016.</w:t>
      </w:r>
    </w:p>
    <w:sectPr w:rsidR="00E63BBA"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994138">
    <w:abstractNumId w:val="8"/>
  </w:num>
  <w:num w:numId="2" w16cid:durableId="1064983409">
    <w:abstractNumId w:val="6"/>
  </w:num>
  <w:num w:numId="3" w16cid:durableId="338315708">
    <w:abstractNumId w:val="5"/>
  </w:num>
  <w:num w:numId="4" w16cid:durableId="624311540">
    <w:abstractNumId w:val="4"/>
  </w:num>
  <w:num w:numId="5" w16cid:durableId="1324041970">
    <w:abstractNumId w:val="7"/>
  </w:num>
  <w:num w:numId="6" w16cid:durableId="1759014166">
    <w:abstractNumId w:val="3"/>
  </w:num>
  <w:num w:numId="7" w16cid:durableId="2018842112">
    <w:abstractNumId w:val="2"/>
  </w:num>
  <w:num w:numId="8" w16cid:durableId="627245866">
    <w:abstractNumId w:val="1"/>
  </w:num>
  <w:num w:numId="9" w16cid:durableId="11463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9AA"/>
    <w:rsid w:val="007D1E5E"/>
    <w:rsid w:val="00AA1D8D"/>
    <w:rsid w:val="00B47730"/>
    <w:rsid w:val="00B75ADE"/>
    <w:rsid w:val="00CA516C"/>
    <w:rsid w:val="00CB0664"/>
    <w:rsid w:val="00E63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3832B"/>
  <w14:defaultImageDpi w14:val="330"/>
  <w15:docId w15:val="{EA1DC64C-9D82-40FD-9408-6F496361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120" w:after="120"/>
      <w:ind w:firstLine="0"/>
      <w:outlineLvl w:val="0"/>
    </w:pPr>
    <w:rPr>
      <w:rFonts w:eastAsia="黑体"/>
      <w:b/>
      <w:bCs/>
      <w:color w:val="000000"/>
      <w:sz w:val="32"/>
      <w:szCs w:val="28"/>
    </w:rPr>
  </w:style>
  <w:style w:type="paragraph" w:styleId="21">
    <w:name w:val="heading 2"/>
    <w:basedOn w:val="a1"/>
    <w:next w:val="a1"/>
    <w:link w:val="22"/>
    <w:uiPriority w:val="9"/>
    <w:unhideWhenUsed/>
    <w:qFormat/>
    <w:rsid w:val="00FC693F"/>
    <w:pPr>
      <w:keepNext/>
      <w:keepLines/>
      <w:spacing w:before="120" w:after="120"/>
      <w:ind w:firstLine="0"/>
      <w:outlineLvl w:val="1"/>
    </w:pPr>
    <w:rPr>
      <w:rFonts w:eastAsia="黑体"/>
      <w:b/>
      <w:bCs/>
      <w:color w:val="000000"/>
      <w:sz w:val="28"/>
      <w:szCs w:val="26"/>
    </w:rPr>
  </w:style>
  <w:style w:type="paragraph" w:styleId="31">
    <w:name w:val="heading 3"/>
    <w:basedOn w:val="a1"/>
    <w:next w:val="a1"/>
    <w:link w:val="32"/>
    <w:uiPriority w:val="9"/>
    <w:unhideWhenUsed/>
    <w:qFormat/>
    <w:rsid w:val="00FC693F"/>
    <w:pPr>
      <w:keepNext/>
      <w:keepLines/>
      <w:spacing w:before="120" w:after="120"/>
      <w:ind w:firstLine="0"/>
      <w:outlineLvl w:val="2"/>
    </w:pPr>
    <w:rPr>
      <w:rFonts w:eastAsia="黑体"/>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CA516C"/>
    <w:rPr>
      <w:rFonts w:ascii="Cambria Math" w:hAnsi="Cambria Math"/>
      <w:b/>
      <w:i/>
    </w:rPr>
  </w:style>
  <w:style w:type="paragraph" w:customStyle="1" w:styleId="MTDisplayEquation">
    <w:name w:val="MTDisplayEquation"/>
    <w:basedOn w:val="a1"/>
    <w:next w:val="a1"/>
    <w:link w:val="MTDisplayEquation0"/>
    <w:rsid w:val="00CA516C"/>
    <w:pPr>
      <w:tabs>
        <w:tab w:val="center" w:pos="4160"/>
        <w:tab w:val="right" w:pos="8320"/>
      </w:tabs>
      <w:spacing w:before="120" w:after="120"/>
      <w:ind w:firstLine="0"/>
      <w:jc w:val="center"/>
    </w:pPr>
  </w:style>
  <w:style w:type="character" w:customStyle="1" w:styleId="MTDisplayEquation0">
    <w:name w:val="MTDisplayEquation 字符"/>
    <w:basedOn w:val="a2"/>
    <w:link w:val="MTDisplayEquation"/>
    <w:rsid w:val="00CA516C"/>
    <w:rPr>
      <w:rFonts w:ascii="Times New Roman" w:eastAsia="宋体" w:hAnsi="Times New Roman" w:cs="Times New Roman"/>
      <w:sz w:val="24"/>
    </w:rPr>
  </w:style>
  <w:style w:type="character" w:customStyle="1" w:styleId="MTEquationSection">
    <w:name w:val="MTEquationSection"/>
    <w:basedOn w:val="a2"/>
    <w:rsid w:val="00CA516C"/>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智健 栾</cp:lastModifiedBy>
  <cp:revision>3</cp:revision>
  <dcterms:created xsi:type="dcterms:W3CDTF">2013-12-23T23:15:00Z</dcterms:created>
  <dcterms:modified xsi:type="dcterms:W3CDTF">2026-06-06T13:06:00Z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