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C155" w14:textId="77777777" w:rsidR="00DC0FDC" w:rsidRDefault="00054A1E">
      <w:pPr>
        <w:widowControl/>
        <w:adjustRightInd w:val="0"/>
        <w:snapToGrid w:val="0"/>
        <w:spacing w:line="480" w:lineRule="auto"/>
        <w:ind w:firstLineChars="135" w:firstLine="434"/>
        <w:jc w:val="center"/>
        <w:rPr>
          <w:rFonts w:ascii="黑体" w:eastAsia="黑体" w:hAnsi="黑体" w:cs="宋体" w:hint="eastAsia"/>
          <w:b/>
          <w:bCs/>
          <w:kern w:val="0"/>
          <w:sz w:val="32"/>
          <w:szCs w:val="32"/>
        </w:rPr>
      </w:pPr>
      <w:r>
        <w:rPr>
          <w:rFonts w:ascii="黑体" w:eastAsia="黑体" w:hAnsi="黑体" w:cs="宋体" w:hint="eastAsia"/>
          <w:b/>
          <w:bCs/>
          <w:kern w:val="0"/>
          <w:sz w:val="32"/>
          <w:szCs w:val="32"/>
        </w:rPr>
        <w:t>大连海事大学马克思主义学院社会实践报告</w:t>
      </w:r>
    </w:p>
    <w:p w14:paraId="01CDA6D6" w14:textId="77777777" w:rsidR="00DC0FDC" w:rsidRDefault="00054A1E" w:rsidP="00ED7806">
      <w:pPr>
        <w:widowControl/>
        <w:adjustRightInd w:val="0"/>
        <w:snapToGrid w:val="0"/>
        <w:spacing w:line="480" w:lineRule="auto"/>
        <w:ind w:firstLineChars="135" w:firstLine="324"/>
        <w:rPr>
          <w:rFonts w:ascii="黑体" w:eastAsia="黑体" w:hAnsi="黑体" w:cs="宋体" w:hint="eastAsia"/>
          <w:kern w:val="0"/>
          <w:sz w:val="24"/>
          <w:szCs w:val="24"/>
        </w:rPr>
      </w:pPr>
      <w:r>
        <w:rPr>
          <w:rFonts w:ascii="黑体" w:eastAsia="黑体" w:hAnsi="黑体" w:cs="宋体" w:hint="eastAsia"/>
          <w:kern w:val="0"/>
          <w:sz w:val="24"/>
          <w:szCs w:val="24"/>
        </w:rPr>
        <w:t xml:space="preserve">   </w:t>
      </w:r>
      <w:r w:rsidR="00ED7806">
        <w:rPr>
          <w:rFonts w:ascii="黑体" w:eastAsia="黑体" w:hAnsi="黑体" w:cs="宋体"/>
          <w:kern w:val="0"/>
          <w:sz w:val="24"/>
          <w:szCs w:val="24"/>
        </w:rPr>
        <w:t xml:space="preserve">     </w:t>
      </w:r>
      <w:r>
        <w:rPr>
          <w:rFonts w:ascii="黑体" w:eastAsia="黑体" w:hAnsi="黑体" w:cs="宋体" w:hint="eastAsia"/>
          <w:kern w:val="0"/>
          <w:sz w:val="24"/>
          <w:szCs w:val="24"/>
        </w:rPr>
        <w:t xml:space="preserve"> 课程名称:形势与政策</w:t>
      </w:r>
      <w:r w:rsidR="00ED7806">
        <w:rPr>
          <w:rFonts w:ascii="黑体" w:eastAsia="黑体" w:hAnsi="黑体" w:cs="宋体"/>
          <w:kern w:val="0"/>
          <w:sz w:val="24"/>
          <w:szCs w:val="24"/>
        </w:rPr>
        <w:t xml:space="preserve">            </w:t>
      </w:r>
      <w:r>
        <w:rPr>
          <w:rFonts w:ascii="黑体" w:eastAsia="黑体" w:hAnsi="黑体" w:cs="宋体" w:hint="eastAsia"/>
          <w:kern w:val="0"/>
          <w:sz w:val="24"/>
          <w:szCs w:val="24"/>
        </w:rPr>
        <w:t>实践报告成绩:</w:t>
      </w:r>
    </w:p>
    <w:p w14:paraId="498601C2" w14:textId="77777777" w:rsidR="00DC0FDC" w:rsidRDefault="00073E42">
      <w:pPr>
        <w:pStyle w:val="aa"/>
        <w:widowControl/>
        <w:adjustRightInd w:val="0"/>
        <w:snapToGrid w:val="0"/>
        <w:spacing w:line="440" w:lineRule="atLeast"/>
        <w:ind w:firstLineChars="0" w:firstLine="0"/>
        <w:rPr>
          <w:rFonts w:ascii="微软雅黑" w:eastAsia="微软雅黑" w:hAnsi="微软雅黑" w:cs="微软雅黑" w:hint="eastAsia"/>
          <w:b/>
          <w:bCs/>
          <w:kern w:val="0"/>
          <w:sz w:val="28"/>
          <w:szCs w:val="28"/>
        </w:rPr>
      </w:pPr>
      <w:r>
        <w:rPr>
          <w:rFonts w:ascii="微软雅黑" w:eastAsia="微软雅黑" w:hAnsi="微软雅黑" w:cs="微软雅黑" w:hint="eastAsia"/>
          <w:b/>
          <w:bCs/>
          <w:kern w:val="0"/>
          <w:sz w:val="28"/>
          <w:szCs w:val="28"/>
        </w:rPr>
        <w:t>一、</w:t>
      </w:r>
      <w:r w:rsidR="00054A1E">
        <w:rPr>
          <w:rFonts w:ascii="微软雅黑" w:eastAsia="微软雅黑" w:hAnsi="微软雅黑" w:cs="微软雅黑" w:hint="eastAsia"/>
          <w:b/>
          <w:bCs/>
          <w:kern w:val="0"/>
          <w:sz w:val="28"/>
          <w:szCs w:val="28"/>
        </w:rPr>
        <w:t>社会实践报告要求:</w:t>
      </w:r>
    </w:p>
    <w:p w14:paraId="34FE5B27" w14:textId="77777777" w:rsidR="00DC0FDC" w:rsidRDefault="00054A1E">
      <w:pPr>
        <w:pStyle w:val="aa"/>
        <w:widowControl/>
        <w:adjustRightInd w:val="0"/>
        <w:snapToGrid w:val="0"/>
        <w:spacing w:line="440" w:lineRule="atLeast"/>
        <w:ind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1．前言。阐明选题背景、选题意义、研究目的、研究方法。</w:t>
      </w:r>
    </w:p>
    <w:p w14:paraId="1CFBB253" w14:textId="77777777" w:rsidR="00DC0FDC" w:rsidRDefault="00054A1E">
      <w:pPr>
        <w:pStyle w:val="aa"/>
        <w:widowControl/>
        <w:adjustRightInd w:val="0"/>
        <w:snapToGrid w:val="0"/>
        <w:spacing w:line="440" w:lineRule="atLeast"/>
        <w:ind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2．主体。详述调研过程、具体做法，包括介绍调查对象概况、发展历程、现实状况、主要成绩、突出问题等基本情况，汇总和分析调研材料并提炼出核心观点。</w:t>
      </w:r>
    </w:p>
    <w:p w14:paraId="7EF4D4BE" w14:textId="77777777" w:rsidR="00DC0FDC" w:rsidRDefault="00054A1E">
      <w:pPr>
        <w:pStyle w:val="aa"/>
        <w:widowControl/>
        <w:adjustRightInd w:val="0"/>
        <w:snapToGrid w:val="0"/>
        <w:spacing w:line="440" w:lineRule="atLeast"/>
        <w:ind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3．结论。提出解决问题的方法、对策或下一步改进工作的建议；或总结全文的主要观点，进一步深化主题；或提出问题，引发人们的进一步思考；或展望前景，发出鼓舞和号召。</w:t>
      </w:r>
    </w:p>
    <w:p w14:paraId="11927EE1" w14:textId="77777777" w:rsidR="00DC0FDC" w:rsidRPr="00073E42" w:rsidRDefault="00073E42">
      <w:pPr>
        <w:widowControl/>
        <w:adjustRightInd w:val="0"/>
        <w:snapToGrid w:val="0"/>
        <w:spacing w:line="440" w:lineRule="atLeast"/>
        <w:rPr>
          <w:rFonts w:ascii="微软雅黑" w:eastAsia="微软雅黑" w:hAnsi="微软雅黑" w:cs="微软雅黑" w:hint="eastAsia"/>
          <w:b/>
          <w:bCs/>
          <w:kern w:val="0"/>
          <w:sz w:val="28"/>
          <w:szCs w:val="28"/>
        </w:rPr>
      </w:pPr>
      <w:r>
        <w:rPr>
          <w:rFonts w:ascii="微软雅黑" w:eastAsia="微软雅黑" w:hAnsi="微软雅黑" w:cs="微软雅黑" w:hint="eastAsia"/>
          <w:b/>
          <w:bCs/>
          <w:kern w:val="0"/>
          <w:sz w:val="28"/>
          <w:szCs w:val="28"/>
        </w:rPr>
        <w:t>二、</w:t>
      </w:r>
      <w:r w:rsidR="00054A1E" w:rsidRPr="00073E42">
        <w:rPr>
          <w:rFonts w:ascii="微软雅黑" w:eastAsia="微软雅黑" w:hAnsi="微软雅黑" w:cs="微软雅黑" w:hint="eastAsia"/>
          <w:b/>
          <w:bCs/>
          <w:kern w:val="0"/>
          <w:sz w:val="28"/>
          <w:szCs w:val="28"/>
        </w:rPr>
        <w:t>报告提交方式</w:t>
      </w:r>
      <w:r>
        <w:rPr>
          <w:rFonts w:ascii="微软雅黑" w:eastAsia="微软雅黑" w:hAnsi="微软雅黑" w:cs="微软雅黑" w:hint="eastAsia"/>
          <w:b/>
          <w:bCs/>
          <w:kern w:val="0"/>
          <w:sz w:val="28"/>
          <w:szCs w:val="28"/>
        </w:rPr>
        <w:t>：</w:t>
      </w:r>
    </w:p>
    <w:p w14:paraId="68893264" w14:textId="77777777" w:rsidR="00AE1437" w:rsidRDefault="00054A1E">
      <w:pPr>
        <w:widowControl/>
        <w:adjustRightInd w:val="0"/>
        <w:snapToGrid w:val="0"/>
        <w:spacing w:line="440" w:lineRule="atLeast"/>
        <w:ind w:firstLineChars="200"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全文3000字左右，请保证原创。文件命名：</w:t>
      </w:r>
      <w:r w:rsidR="004D4694" w:rsidRPr="004D4694">
        <w:rPr>
          <w:rFonts w:asciiTheme="minorEastAsia" w:hAnsiTheme="minorEastAsia" w:cs="宋体" w:hint="eastAsia"/>
          <w:kern w:val="0"/>
          <w:sz w:val="24"/>
          <w:szCs w:val="24"/>
        </w:rPr>
        <w:t>“课程序号+学号+姓名”</w:t>
      </w:r>
      <w:r>
        <w:rPr>
          <w:rFonts w:asciiTheme="minorEastAsia" w:hAnsiTheme="minorEastAsia" w:cs="宋体" w:hint="eastAsia"/>
          <w:kern w:val="0"/>
          <w:sz w:val="24"/>
          <w:szCs w:val="24"/>
        </w:rPr>
        <w:t>，</w:t>
      </w:r>
      <w:r w:rsidR="00E33447">
        <w:rPr>
          <w:rFonts w:asciiTheme="minorEastAsia" w:hAnsiTheme="minorEastAsia" w:cs="宋体" w:hint="eastAsia"/>
          <w:kern w:val="0"/>
          <w:sz w:val="24"/>
          <w:szCs w:val="24"/>
        </w:rPr>
        <w:t>请按照</w:t>
      </w:r>
      <w:r>
        <w:rPr>
          <w:rFonts w:asciiTheme="minorEastAsia" w:hAnsiTheme="minorEastAsia" w:cs="宋体" w:hint="eastAsia"/>
          <w:kern w:val="0"/>
          <w:sz w:val="24"/>
          <w:szCs w:val="24"/>
        </w:rPr>
        <w:t>课程任课教师</w:t>
      </w:r>
      <w:r w:rsidR="00073E42">
        <w:rPr>
          <w:rFonts w:asciiTheme="minorEastAsia" w:hAnsiTheme="minorEastAsia" w:cs="宋体" w:hint="eastAsia"/>
          <w:kern w:val="0"/>
          <w:sz w:val="24"/>
          <w:szCs w:val="24"/>
        </w:rPr>
        <w:t>规</w:t>
      </w:r>
      <w:r>
        <w:rPr>
          <w:rFonts w:asciiTheme="minorEastAsia" w:hAnsiTheme="minorEastAsia" w:cs="宋体" w:hint="eastAsia"/>
          <w:kern w:val="0"/>
          <w:sz w:val="24"/>
          <w:szCs w:val="24"/>
        </w:rPr>
        <w:t>定的时间和</w:t>
      </w:r>
      <w:r w:rsidR="00073E42">
        <w:rPr>
          <w:rFonts w:asciiTheme="minorEastAsia" w:hAnsiTheme="minorEastAsia" w:cs="宋体" w:hint="eastAsia"/>
          <w:kern w:val="0"/>
          <w:sz w:val="24"/>
          <w:szCs w:val="24"/>
        </w:rPr>
        <w:t>方式</w:t>
      </w:r>
      <w:r>
        <w:rPr>
          <w:rFonts w:asciiTheme="minorEastAsia" w:hAnsiTheme="minorEastAsia" w:cs="宋体" w:hint="eastAsia"/>
          <w:kern w:val="0"/>
          <w:sz w:val="24"/>
          <w:szCs w:val="24"/>
        </w:rPr>
        <w:t>提交。</w:t>
      </w:r>
    </w:p>
    <w:p w14:paraId="45824C16" w14:textId="1496640E" w:rsidR="00DC0FDC" w:rsidRDefault="00073E42">
      <w:pPr>
        <w:widowControl/>
        <w:adjustRightInd w:val="0"/>
        <w:snapToGrid w:val="0"/>
        <w:spacing w:line="500" w:lineRule="atLeast"/>
        <w:rPr>
          <w:rFonts w:ascii="微软雅黑" w:eastAsia="微软雅黑" w:hAnsi="微软雅黑" w:cs="微软雅黑" w:hint="eastAsia"/>
          <w:b/>
          <w:kern w:val="0"/>
          <w:sz w:val="28"/>
          <w:szCs w:val="28"/>
        </w:rPr>
      </w:pPr>
      <w:r>
        <w:rPr>
          <w:rFonts w:ascii="微软雅黑" w:eastAsia="微软雅黑" w:hAnsi="微软雅黑" w:cs="微软雅黑" w:hint="eastAsia"/>
          <w:b/>
          <w:kern w:val="0"/>
          <w:sz w:val="28"/>
          <w:szCs w:val="28"/>
        </w:rPr>
        <w:t>三、</w:t>
      </w:r>
      <w:r w:rsidR="00054A1E">
        <w:rPr>
          <w:rFonts w:ascii="微软雅黑" w:eastAsia="微软雅黑" w:hAnsi="微软雅黑" w:cs="微软雅黑" w:hint="eastAsia"/>
          <w:b/>
          <w:kern w:val="0"/>
          <w:sz w:val="28"/>
          <w:szCs w:val="28"/>
        </w:rPr>
        <w:t>调研基本信息：</w:t>
      </w:r>
    </w:p>
    <w:p w14:paraId="32ADB35F" w14:textId="6F8EADE5"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姓        名：                 </w:t>
      </w:r>
      <w:r w:rsidR="00323630">
        <w:rPr>
          <w:rFonts w:asciiTheme="minorEastAsia" w:hAnsiTheme="minorEastAsia" w:cs="宋体" w:hint="eastAsia"/>
          <w:b/>
          <w:bCs/>
          <w:kern w:val="0"/>
          <w:sz w:val="28"/>
          <w:szCs w:val="28"/>
          <w:u w:val="single"/>
        </w:rPr>
        <w:t>栾智健</w:t>
      </w:r>
      <w:r>
        <w:rPr>
          <w:rFonts w:asciiTheme="minorEastAsia" w:hAnsiTheme="minorEastAsia" w:cs="宋体" w:hint="eastAsia"/>
          <w:b/>
          <w:bCs/>
          <w:kern w:val="0"/>
          <w:sz w:val="28"/>
          <w:szCs w:val="28"/>
          <w:u w:val="single"/>
        </w:rPr>
        <w:t xml:space="preserve">                                         </w:t>
      </w:r>
    </w:p>
    <w:p w14:paraId="4CC71303" w14:textId="7A80FBD5"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学        号：                </w:t>
      </w:r>
      <w:r w:rsidR="00323630">
        <w:rPr>
          <w:rFonts w:asciiTheme="minorEastAsia" w:hAnsiTheme="minorEastAsia" w:cs="宋体" w:hint="eastAsia"/>
          <w:b/>
          <w:bCs/>
          <w:kern w:val="0"/>
          <w:sz w:val="28"/>
          <w:szCs w:val="28"/>
          <w:u w:val="single"/>
        </w:rPr>
        <w:t>222023287</w:t>
      </w:r>
      <w:r>
        <w:rPr>
          <w:rFonts w:asciiTheme="minorEastAsia" w:hAnsiTheme="minorEastAsia" w:cs="宋体" w:hint="eastAsia"/>
          <w:b/>
          <w:bCs/>
          <w:kern w:val="0"/>
          <w:sz w:val="28"/>
          <w:szCs w:val="28"/>
          <w:u w:val="single"/>
        </w:rPr>
        <w:t xml:space="preserve">                                        </w:t>
      </w:r>
    </w:p>
    <w:p w14:paraId="0C312938" w14:textId="11A721B1"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学        院：             </w:t>
      </w:r>
      <w:r w:rsidR="00323630">
        <w:rPr>
          <w:rFonts w:asciiTheme="minorEastAsia" w:hAnsiTheme="minorEastAsia" w:cs="宋体" w:hint="eastAsia"/>
          <w:b/>
          <w:bCs/>
          <w:kern w:val="0"/>
          <w:sz w:val="28"/>
          <w:szCs w:val="28"/>
          <w:u w:val="single"/>
        </w:rPr>
        <w:t>交通运输工程学院</w:t>
      </w:r>
      <w:r>
        <w:rPr>
          <w:rFonts w:asciiTheme="minorEastAsia" w:hAnsiTheme="minorEastAsia" w:cs="宋体" w:hint="eastAsia"/>
          <w:b/>
          <w:bCs/>
          <w:kern w:val="0"/>
          <w:sz w:val="28"/>
          <w:szCs w:val="28"/>
          <w:u w:val="single"/>
        </w:rPr>
        <w:t xml:space="preserve">                                       </w:t>
      </w:r>
    </w:p>
    <w:p w14:paraId="5506F5A0" w14:textId="267005E6"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年级专业班级：           </w:t>
      </w:r>
      <w:r w:rsidR="00323630">
        <w:rPr>
          <w:rFonts w:asciiTheme="minorEastAsia" w:hAnsiTheme="minorEastAsia" w:cs="宋体" w:hint="eastAsia"/>
          <w:b/>
          <w:bCs/>
          <w:kern w:val="0"/>
          <w:sz w:val="28"/>
          <w:szCs w:val="28"/>
          <w:u w:val="single"/>
        </w:rPr>
        <w:t>2023级物流工程专业3班</w:t>
      </w:r>
      <w:r>
        <w:rPr>
          <w:rFonts w:asciiTheme="minorEastAsia" w:hAnsiTheme="minorEastAsia" w:cs="宋体" w:hint="eastAsia"/>
          <w:b/>
          <w:bCs/>
          <w:kern w:val="0"/>
          <w:sz w:val="28"/>
          <w:szCs w:val="28"/>
          <w:u w:val="single"/>
        </w:rPr>
        <w:t xml:space="preserve">                                       </w:t>
      </w:r>
    </w:p>
    <w:p w14:paraId="2D2C6C74" w14:textId="1A5B9AB3" w:rsidR="00AE1437" w:rsidRDefault="00054A1E">
      <w:pPr>
        <w:adjustRightInd w:val="0"/>
        <w:snapToGrid w:val="0"/>
        <w:spacing w:line="520" w:lineRule="atLeast"/>
        <w:ind w:firstLineChars="118" w:firstLine="332"/>
        <w:rPr>
          <w:rFonts w:asciiTheme="minorEastAsia" w:hAnsiTheme="minorEastAsia" w:cs="宋体"/>
          <w:b/>
          <w:bCs/>
          <w:kern w:val="0"/>
          <w:sz w:val="28"/>
          <w:szCs w:val="28"/>
          <w:u w:val="single"/>
        </w:rPr>
      </w:pPr>
      <w:r>
        <w:rPr>
          <w:rFonts w:asciiTheme="minorEastAsia" w:hAnsiTheme="minorEastAsia" w:cs="宋体" w:hint="eastAsia"/>
          <w:b/>
          <w:bCs/>
          <w:kern w:val="0"/>
          <w:sz w:val="28"/>
          <w:szCs w:val="28"/>
          <w:u w:val="single"/>
        </w:rPr>
        <w:t>调  研 主  题：</w:t>
      </w:r>
      <w:r w:rsidR="00AE1437" w:rsidRPr="00AE1437">
        <w:rPr>
          <w:rFonts w:asciiTheme="minorEastAsia" w:hAnsiTheme="minorEastAsia" w:cs="宋体" w:hint="eastAsia"/>
          <w:b/>
          <w:bCs/>
          <w:kern w:val="0"/>
          <w:sz w:val="28"/>
          <w:szCs w:val="28"/>
          <w:u w:val="single"/>
        </w:rPr>
        <w:t>海权兴则国运盛：</w:t>
      </w:r>
      <w:r w:rsidR="00AE1437" w:rsidRPr="00AE1437">
        <w:rPr>
          <w:rFonts w:asciiTheme="minorEastAsia" w:hAnsiTheme="minorEastAsia" w:cs="宋体"/>
          <w:b/>
          <w:bCs/>
          <w:kern w:val="0"/>
          <w:sz w:val="28"/>
          <w:szCs w:val="28"/>
          <w:u w:val="single"/>
        </w:rPr>
        <w:t xml:space="preserve">                                                                                                         </w:t>
      </w:r>
    </w:p>
    <w:p w14:paraId="476FDFEA" w14:textId="77777777" w:rsidR="00AE1437" w:rsidRDefault="00AE1437">
      <w:pPr>
        <w:adjustRightInd w:val="0"/>
        <w:snapToGrid w:val="0"/>
        <w:spacing w:line="520" w:lineRule="atLeast"/>
        <w:ind w:firstLineChars="118" w:firstLine="332"/>
        <w:rPr>
          <w:rFonts w:asciiTheme="minorEastAsia" w:hAnsiTheme="minorEastAsia" w:hint="eastAsia"/>
          <w:b/>
          <w:bCs/>
          <w:sz w:val="28"/>
          <w:szCs w:val="28"/>
          <w:u w:val="single"/>
        </w:rPr>
      </w:pPr>
      <w:r w:rsidRPr="00AE1437">
        <w:rPr>
          <w:rFonts w:asciiTheme="minorEastAsia" w:hAnsiTheme="minorEastAsia" w:cs="宋体" w:hint="eastAsia"/>
          <w:b/>
          <w:bCs/>
          <w:kern w:val="0"/>
          <w:sz w:val="28"/>
          <w:szCs w:val="28"/>
          <w:u w:val="single"/>
        </w:rPr>
        <w:t>大国担当与两岸融合背景下的大连港智慧物流链调研报告</w:t>
      </w:r>
      <w:r w:rsidR="00054A1E">
        <w:rPr>
          <w:rFonts w:asciiTheme="minorEastAsia" w:hAnsiTheme="minorEastAsia" w:cs="宋体" w:hint="eastAsia"/>
          <w:b/>
          <w:bCs/>
          <w:kern w:val="0"/>
          <w:sz w:val="28"/>
          <w:szCs w:val="28"/>
          <w:u w:val="single"/>
        </w:rPr>
        <w:t xml:space="preserve">                                                          </w:t>
      </w:r>
    </w:p>
    <w:p w14:paraId="714C283C" w14:textId="725F2734" w:rsidR="00DC0FDC" w:rsidRPr="00E33447" w:rsidRDefault="00054A1E">
      <w:pPr>
        <w:adjustRightInd w:val="0"/>
        <w:snapToGrid w:val="0"/>
        <w:spacing w:line="580" w:lineRule="exact"/>
        <w:outlineLvl w:val="0"/>
        <w:rPr>
          <w:rFonts w:ascii="微软雅黑" w:eastAsia="微软雅黑" w:hAnsi="微软雅黑" w:cs="微软雅黑" w:hint="eastAsia"/>
          <w:b/>
          <w:kern w:val="0"/>
          <w:sz w:val="32"/>
          <w:szCs w:val="32"/>
        </w:rPr>
      </w:pPr>
      <w:r w:rsidRPr="00E33447">
        <w:rPr>
          <w:rFonts w:asciiTheme="minorEastAsia" w:hAnsiTheme="minorEastAsia" w:cs="宋体" w:hint="eastAsia"/>
          <w:b/>
          <w:bCs/>
          <w:kern w:val="0"/>
          <w:sz w:val="28"/>
          <w:szCs w:val="28"/>
        </w:rPr>
        <w:t xml:space="preserve">正文 ：  </w:t>
      </w:r>
      <w:r w:rsidRPr="00E33447">
        <w:rPr>
          <w:rFonts w:ascii="微软雅黑" w:eastAsia="微软雅黑" w:hAnsi="微软雅黑" w:cs="微软雅黑" w:hint="eastAsia"/>
          <w:b/>
          <w:kern w:val="0"/>
          <w:sz w:val="32"/>
          <w:szCs w:val="32"/>
        </w:rPr>
        <w:t xml:space="preserve"> </w:t>
      </w:r>
    </w:p>
    <w:p w14:paraId="26F533F9" w14:textId="7FB1F553"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一、 前言</w:t>
      </w:r>
      <w:r w:rsidRPr="00323630">
        <w:rPr>
          <w:rFonts w:asciiTheme="minorEastAsia" w:hAnsiTheme="minorEastAsia" w:cs="宋体"/>
          <w:b/>
          <w:kern w:val="0"/>
          <w:sz w:val="24"/>
          <w:szCs w:val="24"/>
          <w:u w:val="single"/>
        </w:rPr>
        <w:t xml:space="preserve">                                                                                                                      </w:t>
      </w:r>
    </w:p>
    <w:p w14:paraId="734D64A7" w14:textId="58191466"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当前，世界正经历百年未有之大变局，国际秩序与全球供应链体系面临着深刻重塑与解构的风险。在《中国风范 大国担当》专题课件中，明确指出大国关系牵动国际形势，大国合作是维护世界和平的关键因素，而大国协调更是世界经济复苏的重要动力。在此宏观背景下，全球物流供应链的韧性与稳定不仅是国</w:t>
      </w:r>
      <w:r w:rsidRPr="00323630">
        <w:rPr>
          <w:rFonts w:asciiTheme="minorEastAsia" w:hAnsiTheme="minorEastAsia" w:cs="宋体" w:hint="eastAsia"/>
          <w:b/>
          <w:kern w:val="0"/>
          <w:sz w:val="24"/>
          <w:szCs w:val="24"/>
          <w:u w:val="single"/>
        </w:rPr>
        <w:lastRenderedPageBreak/>
        <w:t>民经济运行的命脉，更是展现“中国特色大国外交”与中国作为负责任大国担当的重要现实载体。与此同时，《反“独”促统 共创伟业》专题课件深刻揭示，解决台湾问题、实现祖国完全统一是中国共产党矢志不渝的历史任务。经济与社会的深度融合是国家统一的基础，而港航物流作为支撑两岸经贸往来的物理与服务纽带，在落实“以通促融、以惠促融”战略中扮演着不可替代的角色。</w:t>
      </w:r>
      <w:r w:rsidRPr="00323630">
        <w:rPr>
          <w:rFonts w:asciiTheme="minorEastAsia" w:hAnsiTheme="minorEastAsia" w:cs="宋体"/>
          <w:b/>
          <w:kern w:val="0"/>
          <w:sz w:val="24"/>
          <w:szCs w:val="24"/>
          <w:u w:val="single"/>
        </w:rPr>
        <w:t xml:space="preserve">                                                           </w:t>
      </w:r>
    </w:p>
    <w:p w14:paraId="5FBCB9E6" w14:textId="4B94C1D2"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大连港作为东北亚国际航运中心和国际物流中心的核心枢纽，近年来在应对国际变局、保障国内外双循环通道畅通中发挥了“压舱石”的作用。本报告以大连港及其背后的国际物流供应链为调研对象，具有重大的时代意义与现实针对性。一方面，通过剖析大连港在拓展海外航线、推进绿色智慧航运与稳定全球贸易通道中的具体举措，能够具象化地展现中国在完善全球治理、不谋私利、合作共赢方面的“大国风范”；另一方面，通过研究大连港及大陆对台物流通道的现状、成绩与瓶颈，深入探讨如何利用现代航运服务业拉紧两岸利益纽带，为推进祖国和平统一大业提供来自交通运输领域的实证支持与策略参考。</w:t>
      </w:r>
      <w:r w:rsidRPr="00323630">
        <w:rPr>
          <w:rFonts w:asciiTheme="minorEastAsia" w:hAnsiTheme="minorEastAsia" w:cs="宋体"/>
          <w:b/>
          <w:kern w:val="0"/>
          <w:sz w:val="24"/>
          <w:szCs w:val="24"/>
          <w:u w:val="single"/>
        </w:rPr>
        <w:t xml:space="preserve">                                                           </w:t>
      </w:r>
    </w:p>
    <w:p w14:paraId="08CC9A17" w14:textId="3F3D2FFC"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本次调研采取了文献分析、实证数据交叉比对与系统分析相结合的研究方法。在调研过程中，不仅深入研读了《形势与政策》的两套核心课件，更结合了2025年海关总署发布的最新两岸经贸数据，以及交通运输部关于推进集装箱铁水联运深度融合的最新政策文件，力求实现宏观战略理论与微观物流工程实践的深度耦合。</w:t>
      </w:r>
      <w:r w:rsidRPr="00323630">
        <w:rPr>
          <w:rFonts w:asciiTheme="minorEastAsia" w:hAnsiTheme="minorEastAsia" w:cs="宋体"/>
          <w:b/>
          <w:kern w:val="0"/>
          <w:sz w:val="24"/>
          <w:szCs w:val="24"/>
          <w:u w:val="single"/>
        </w:rPr>
        <w:t xml:space="preserve">                                                                                                                      </w:t>
      </w:r>
    </w:p>
    <w:p w14:paraId="3285D08D" w14:textId="6C7800C5"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二、 大国担当篇：在世界变局中夯实全球供应链的“硬核枢纽”</w:t>
      </w:r>
      <w:r w:rsidRPr="00323630">
        <w:rPr>
          <w:rFonts w:asciiTheme="minorEastAsia" w:hAnsiTheme="minorEastAsia" w:cs="宋体"/>
          <w:b/>
          <w:kern w:val="0"/>
          <w:sz w:val="24"/>
          <w:szCs w:val="24"/>
          <w:u w:val="single"/>
        </w:rPr>
        <w:t xml:space="preserve">                                                                                                                      </w:t>
      </w:r>
    </w:p>
    <w:p w14:paraId="25E54686" w14:textId="7C704FF2"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在动荡变革的世界中，大国的政策取向与基础设施能力直接关系到全球经济的繁荣与衰退。本次调研深入剖析了大连港在维护全球产业链稳定、践行大国担当方面的具体发展历程与现实状况。</w:t>
      </w:r>
      <w:r w:rsidRPr="00323630">
        <w:rPr>
          <w:rFonts w:asciiTheme="minorEastAsia" w:hAnsiTheme="minorEastAsia" w:cs="宋体"/>
          <w:b/>
          <w:kern w:val="0"/>
          <w:sz w:val="24"/>
          <w:szCs w:val="24"/>
          <w:u w:val="single"/>
        </w:rPr>
        <w:t xml:space="preserve">                                                                                                                      </w:t>
      </w:r>
    </w:p>
    <w:p w14:paraId="152399C6" w14:textId="7F22526A"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作为拥有百年历史的北方深水大港，大连港近年来全面融入“一带一路”倡议与交通强国建设。面对逆全球化思潮与部分国家动辄以关税和武力进行“脱钩</w:t>
      </w:r>
      <w:r w:rsidRPr="00323630">
        <w:rPr>
          <w:rFonts w:asciiTheme="minorEastAsia" w:hAnsiTheme="minorEastAsia" w:cs="宋体" w:hint="eastAsia"/>
          <w:b/>
          <w:kern w:val="0"/>
          <w:sz w:val="24"/>
          <w:szCs w:val="24"/>
          <w:u w:val="single"/>
        </w:rPr>
        <w:lastRenderedPageBreak/>
        <w:t>断链”的胁迫，中国始终坚持大门敞开，倡导对话与合作。调研发现，大连港的航线拓展与吞吐量跃升正是这一大国外交理念的生动注脚。2025年，在全球航运市场波动加剧的背景下，大连港货物吞吐量与集装箱吞吐量均保持稳健增长，其集装箱航线网络已覆盖全球160多个国家和地区的300余个港口。特别是在过去一年中，大连港密集开辟了直通南美、印度及中东等地的多条外贸干线。这些举措有效填补了我国东北地区与新兴经济体之间的直航服务空白，大幅降低了广大发展中国家的物流时间与贸易成本。中国用“建港开航”的务实合作代替零和博弈，以实际行动证明了中国的发展是和平力量的增长。大连港在维持全球海运物流网不间断运转中所做的贡献，正是《中国风范 大国担当》中所阐述的“大国担当为完善全球治理发挥重要作用”的最佳实证。</w:t>
      </w:r>
      <w:r w:rsidRPr="00323630">
        <w:rPr>
          <w:rFonts w:asciiTheme="minorEastAsia" w:hAnsiTheme="minorEastAsia" w:cs="宋体"/>
          <w:b/>
          <w:kern w:val="0"/>
          <w:sz w:val="24"/>
          <w:szCs w:val="24"/>
          <w:u w:val="single"/>
        </w:rPr>
        <w:t xml:space="preserve">                                                                                                                      </w:t>
      </w:r>
    </w:p>
    <w:p w14:paraId="4B9A0A6B" w14:textId="39DF9923"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同时，在应对全球气候变化这一人类共同面临的挑战上，中国始终是生态文明建设的引领者。本次调研特别关注了大连港在绿色航运与智慧港口建设上的突出成绩。2025年4月，第三届绿色航运论坛在大连隆重举办，大连港深度参与“东北亚绿色船燃供应链联盟”建设，全面布局绿色甲醇、绿氨等新能源产业链的仓储与加注服务。大连港正逐渐从传统的货物集散地，转型为全球绿色航运网络的能源补给站。在智慧赋能方面，随着“十五五”战略规划对基础设施数智化改造的推进，大连港广泛应用人工智能与物联网技术，推广“抵港直装”与“船边直提”的智慧海关监管模式，并大力发展铁水联运“一单制”和“一箱制”。这种以科技创新和绿色低碳技术为驱动的产业升级，极大降低了港口运营的综合能耗与碳排放。面对国际道义与生态危局，中国不拉偏架、不谋私利，而是通过实实在在的基础设施升级与技术输出，为全球交通治理提供了绿色与高效的“中国方案”。</w:t>
      </w:r>
      <w:r w:rsidRPr="00323630">
        <w:rPr>
          <w:rFonts w:asciiTheme="minorEastAsia" w:hAnsiTheme="minorEastAsia" w:cs="宋体"/>
          <w:b/>
          <w:kern w:val="0"/>
          <w:sz w:val="24"/>
          <w:szCs w:val="24"/>
          <w:u w:val="single"/>
        </w:rPr>
        <w:t xml:space="preserve">                                                                                                                                                                                 </w:t>
      </w:r>
    </w:p>
    <w:p w14:paraId="4A43C341" w14:textId="2E0284C8"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三、 反独促统篇：以物流枢纽连结两岸福祉，塑造祖国必然统一大势</w:t>
      </w:r>
      <w:r w:rsidRPr="00323630">
        <w:rPr>
          <w:rFonts w:asciiTheme="minorEastAsia" w:hAnsiTheme="minorEastAsia" w:cs="宋体"/>
          <w:b/>
          <w:kern w:val="0"/>
          <w:sz w:val="24"/>
          <w:szCs w:val="24"/>
          <w:u w:val="single"/>
        </w:rPr>
        <w:t xml:space="preserve">                                                                                                                                                                                 </w:t>
      </w:r>
    </w:p>
    <w:p w14:paraId="1F52B08A" w14:textId="7A4F4E2E"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解决台湾问题，实现祖国完全统一，不仅需要坚定的政治决心，更需要深厚的</w:t>
      </w:r>
      <w:r w:rsidRPr="00323630">
        <w:rPr>
          <w:rFonts w:asciiTheme="minorEastAsia" w:hAnsiTheme="minorEastAsia" w:cs="宋体" w:hint="eastAsia"/>
          <w:b/>
          <w:kern w:val="0"/>
          <w:sz w:val="24"/>
          <w:szCs w:val="24"/>
          <w:u w:val="single"/>
        </w:rPr>
        <w:lastRenderedPageBreak/>
        <w:t>经济与民间融合基础。《反“独”促统 共创伟业》课件明确指出，两岸同胞血脉相连，台湾经济发展、能源资源保障以及台湾同胞的民生福祉，在和平统一之后有着强大祖国做后盾，必定会更好。这种“更好”的现实预演，正体现在当前日益紧密的两岸经贸物流网络中。</w:t>
      </w:r>
      <w:r w:rsidRPr="00323630">
        <w:rPr>
          <w:rFonts w:asciiTheme="minorEastAsia" w:hAnsiTheme="minorEastAsia" w:cs="宋体"/>
          <w:b/>
          <w:kern w:val="0"/>
          <w:sz w:val="24"/>
          <w:szCs w:val="24"/>
          <w:u w:val="single"/>
        </w:rPr>
        <w:t xml:space="preserve">                                                                                                                                                                                 </w:t>
      </w:r>
    </w:p>
    <w:p w14:paraId="61D3B952" w14:textId="1214013D"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在调研大陆对台贸易与物流现状时，最新宏观数据提供了无可辩驳的证明。据海关总署统计，2025年全年两岸进出口贸易额达到3143.34亿美元，同比增长7.3%。其中，大陆从台湾进口约2307.37亿美元，向台湾出口约835.97亿美元。在这庞大的贸易规模背后，是每天穿梭于台湾海峡及两岸港口之间的集装箱巨轮与物流车队。以大连港及东北地区腹地为例，台湾地区的精密机械、电子零配件与特色农产品源源不断地通过多式联运网络进入大陆广阔的市场；同时，大陆的工业半成品及高品质消费品也通过高效的航运通道运抵台湾。这些数据与物流轨迹客观揭示了一个核心观点：两岸经济脱钩是彻头彻尾的伪命题，两岸同胞的利益早已深深嵌合在全球供应链的同一条船上。</w:t>
      </w:r>
      <w:r w:rsidRPr="00323630">
        <w:rPr>
          <w:rFonts w:asciiTheme="minorEastAsia" w:hAnsiTheme="minorEastAsia" w:cs="宋体"/>
          <w:b/>
          <w:kern w:val="0"/>
          <w:sz w:val="24"/>
          <w:szCs w:val="24"/>
          <w:u w:val="single"/>
        </w:rPr>
        <w:t xml:space="preserve">                                                                                                                                                                                 </w:t>
      </w:r>
    </w:p>
    <w:p w14:paraId="569FCF42" w14:textId="28BC104D"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进一步的调研表明，大连港在落实对台“以通促融”方面取得了显著成绩。港口通过开辟绿色通道、提升冷链物流服务能级，为台湾优质水果、水产品进入北方市场提供了极其便利的通关条件。这正是落实国家惠台政策、与台湾同胞分享大陆发展机遇的具体体现。然而，调研也发现，当前对台物流供应链仍存在一些亟待解决的突出问题。其一，“台独”分裂势力出于政治私利，人为设置障碍，导致两岸直航航线和航班数量、航点布局在某些时期受到无理限制，增加了企业的物流时间与试错成本。其二，由于两岸在部分海关数据互认与检验检疫标准上尚未实现完全对接，导致通关效率未能达到理论最优。其三，在全球供应链摩擦频发的背景下，部分涉及两岸高新技术产业的物流节点面临外部势力干涉与“断链”的潜在威胁。</w:t>
      </w:r>
      <w:r w:rsidRPr="00323630">
        <w:rPr>
          <w:rFonts w:asciiTheme="minorEastAsia" w:hAnsiTheme="minorEastAsia" w:cs="宋体"/>
          <w:b/>
          <w:kern w:val="0"/>
          <w:sz w:val="24"/>
          <w:szCs w:val="24"/>
          <w:u w:val="single"/>
        </w:rPr>
        <w:t xml:space="preserve">                                                                                                                                                                                 </w:t>
      </w:r>
    </w:p>
    <w:p w14:paraId="467DE8EC" w14:textId="77777777"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面对这些问题，我们必须清醒地认识到，和平统一需要两岸同胞共同努力，相</w:t>
      </w:r>
      <w:r w:rsidRPr="00323630">
        <w:rPr>
          <w:rFonts w:asciiTheme="minorEastAsia" w:hAnsiTheme="minorEastAsia" w:cs="宋体" w:hint="eastAsia"/>
          <w:b/>
          <w:kern w:val="0"/>
          <w:sz w:val="24"/>
          <w:szCs w:val="24"/>
          <w:u w:val="single"/>
        </w:rPr>
        <w:lastRenderedPageBreak/>
        <w:t>向而行。作为国家核心基础设施的港口物流体系，必须肩负起连结两岸同胞福祉的重任，用无可替代的规模效应与服务效率，彻底粉碎任何图谋割裂两岸经济纽带的幻想，从而在物质与利益层面牢牢塑造祖国必然统一的历史大势。</w:t>
      </w:r>
    </w:p>
    <w:p w14:paraId="064D9A99" w14:textId="3AE5293D"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四、 结论与展望</w:t>
      </w:r>
      <w:r w:rsidRPr="00323630">
        <w:rPr>
          <w:rFonts w:asciiTheme="minorEastAsia" w:hAnsiTheme="minorEastAsia" w:cs="宋体"/>
          <w:b/>
          <w:kern w:val="0"/>
          <w:sz w:val="24"/>
          <w:szCs w:val="24"/>
          <w:u w:val="single"/>
        </w:rPr>
        <w:t xml:space="preserve">                                                                                                                                                                                 </w:t>
      </w:r>
    </w:p>
    <w:p w14:paraId="667AA19E" w14:textId="18D16F33"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综合上述调研分析，大连港在全球变局中夯实供应链的“大国担当”，以及在对台经贸中发挥的“纽带作用”，为我们提供了极其宝贵的实证启示。针对调研中发现的问题，本报告提出以下解决对策与改进建议：</w:t>
      </w:r>
      <w:r w:rsidRPr="00323630">
        <w:rPr>
          <w:rFonts w:asciiTheme="minorEastAsia" w:hAnsiTheme="minorEastAsia" w:cs="宋体"/>
          <w:b/>
          <w:kern w:val="0"/>
          <w:sz w:val="24"/>
          <w:szCs w:val="24"/>
          <w:u w:val="single"/>
        </w:rPr>
        <w:t xml:space="preserve">                                                                                                                                                                                 </w:t>
      </w:r>
    </w:p>
    <w:p w14:paraId="033F562E" w14:textId="77777777"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第一，进一步强化两岸物流的“硬联通”与“软联通”。在硬件上，应结合东北亚国际航运中心建设，优化对台直航航线网络，特别是增加高附加值电子产品与冷链农产品的定制化班轮服务。在软件上，建议积极探索港口之间的数据共享与区块链互信机制，推动两岸海关在特定品类商品上的检验检疫互认，真正实现“一单到底、物流无感”，大幅压缩台资企业在大陆的供应链成本。</w:t>
      </w:r>
    </w:p>
    <w:p w14:paraId="5106979D" w14:textId="11BC372E"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第二，持续深化绿色与智慧港口的全球治理输出。大连港应以“东北亚绿色船燃供应链联盟”为契机，不仅服务于国内大循环，更要吸引包括台湾地区航商在内的全球船企靠泊加注，通过制定和推广绿色航运的“中国标准”，提升我国在全球交通物流治理规则制定中的话语权，让国际社会更深刻地感受到中国风范的道义感召力。</w:t>
      </w:r>
      <w:r w:rsidRPr="00323630">
        <w:rPr>
          <w:rFonts w:asciiTheme="minorEastAsia" w:hAnsiTheme="minorEastAsia" w:cs="宋体"/>
          <w:b/>
          <w:kern w:val="0"/>
          <w:sz w:val="24"/>
          <w:szCs w:val="24"/>
          <w:u w:val="single"/>
        </w:rPr>
        <w:t xml:space="preserve">                                                                                                                                                                                 </w:t>
      </w:r>
    </w:p>
    <w:p w14:paraId="03E7DF8F" w14:textId="1E1CF6F0" w:rsidR="00323630"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第三，构建具有极强韧性的自主可控供应链。面对外部干涉与“台独”势力的破坏风险，必须加快推进物流通道的多元化与核心节点（如码头自动化操作系统、物流数据中心）的国产化替代。只有自身足够强大，才能为两岸经济融合提供坚不可摧的安全保障伞。</w:t>
      </w:r>
      <w:r w:rsidRPr="00323630">
        <w:rPr>
          <w:rFonts w:asciiTheme="minorEastAsia" w:hAnsiTheme="minorEastAsia" w:cs="宋体"/>
          <w:b/>
          <w:kern w:val="0"/>
          <w:sz w:val="24"/>
          <w:szCs w:val="24"/>
          <w:u w:val="single"/>
        </w:rPr>
        <w:t xml:space="preserve">                                                                                                                                                                                 </w:t>
      </w:r>
    </w:p>
    <w:p w14:paraId="11B070B9" w14:textId="4218312E" w:rsidR="00E33447" w:rsidRDefault="00323630" w:rsidP="00323630">
      <w:pPr>
        <w:adjustRightInd w:val="0"/>
        <w:snapToGrid w:val="0"/>
        <w:spacing w:line="580" w:lineRule="exact"/>
        <w:outlineLvl w:val="0"/>
        <w:rPr>
          <w:rFonts w:asciiTheme="minorEastAsia" w:hAnsiTheme="minorEastAsia" w:cs="宋体" w:hint="eastAsia"/>
          <w:b/>
          <w:kern w:val="0"/>
          <w:sz w:val="24"/>
          <w:szCs w:val="24"/>
          <w:u w:val="single"/>
        </w:rPr>
      </w:pPr>
      <w:r w:rsidRPr="00323630">
        <w:rPr>
          <w:rFonts w:asciiTheme="minorEastAsia" w:hAnsiTheme="minorEastAsia" w:cs="宋体" w:hint="eastAsia"/>
          <w:b/>
          <w:kern w:val="0"/>
          <w:sz w:val="24"/>
          <w:szCs w:val="24"/>
          <w:u w:val="single"/>
        </w:rPr>
        <w:t>海权兴则国运盛，物流通则百业兴。两岸同胞没有理由不和衷共济，更没有理由缺席民族复兴的伟大进程。作为海大物流工程专业的青年学子，通过本次深入调研，我更加深刻地理解了“形策”课程的真谛。我们所学习的航线规划、</w:t>
      </w:r>
      <w:r w:rsidRPr="00323630">
        <w:rPr>
          <w:rFonts w:asciiTheme="minorEastAsia" w:hAnsiTheme="minorEastAsia" w:cs="宋体" w:hint="eastAsia"/>
          <w:b/>
          <w:kern w:val="0"/>
          <w:sz w:val="24"/>
          <w:szCs w:val="24"/>
          <w:u w:val="single"/>
        </w:rPr>
        <w:lastRenderedPageBreak/>
        <w:t>多式联运与供应链管理，不仅是冰冷的公式与代码，更是连通四海、造福同胞、经纬天下的国之重器。在未来的学习与科研中，我们应当胸怀“国之大者”，把青春奋斗融入到交通强国建设的具体实践中，以扎实的专业素养和广阔的国际视野，为在世界变局中展现中国大国担当、为最终完成祖国统一的千秋伟业，贡献出属于海大交通人的智慧与力量！</w:t>
      </w:r>
      <w:r w:rsidR="00E33447">
        <w:rPr>
          <w:rFonts w:asciiTheme="minorEastAsia" w:hAnsiTheme="minorEastAsia" w:cs="宋体" w:hint="eastAsia"/>
          <w:b/>
          <w:kern w:val="0"/>
          <w:sz w:val="24"/>
          <w:szCs w:val="24"/>
          <w:u w:val="single"/>
        </w:rPr>
        <w:t xml:space="preserve">                                                                      </w:t>
      </w:r>
    </w:p>
    <w:p w14:paraId="39A0DACC" w14:textId="11EC4005" w:rsidR="00DC0FDC" w:rsidRDefault="00DC0FDC" w:rsidP="00ED7806">
      <w:pPr>
        <w:adjustRightInd w:val="0"/>
        <w:snapToGrid w:val="0"/>
        <w:spacing w:line="580" w:lineRule="exact"/>
        <w:outlineLvl w:val="0"/>
        <w:rPr>
          <w:rFonts w:ascii="黑体" w:eastAsia="黑体" w:hAnsi="黑体" w:hint="eastAsia"/>
          <w:b/>
          <w:sz w:val="24"/>
        </w:rPr>
      </w:pPr>
    </w:p>
    <w:sectPr w:rsidR="00DC0FDC" w:rsidSect="00DC0F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54290" w14:textId="77777777" w:rsidR="0082618C" w:rsidRDefault="0082618C" w:rsidP="00E33447">
      <w:r>
        <w:separator/>
      </w:r>
    </w:p>
  </w:endnote>
  <w:endnote w:type="continuationSeparator" w:id="0">
    <w:p w14:paraId="7D126886" w14:textId="77777777" w:rsidR="0082618C" w:rsidRDefault="0082618C" w:rsidP="00E33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0C48F" w14:textId="77777777" w:rsidR="0082618C" w:rsidRDefault="0082618C" w:rsidP="00E33447">
      <w:r>
        <w:separator/>
      </w:r>
    </w:p>
  </w:footnote>
  <w:footnote w:type="continuationSeparator" w:id="0">
    <w:p w14:paraId="0A2A9008" w14:textId="77777777" w:rsidR="0082618C" w:rsidRDefault="0082618C" w:rsidP="00E33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41310"/>
    <w:multiLevelType w:val="hybridMultilevel"/>
    <w:tmpl w:val="0A2A57A6"/>
    <w:lvl w:ilvl="0" w:tplc="BDF0217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654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07771"/>
    <w:rsid w:val="00054A1E"/>
    <w:rsid w:val="00073E42"/>
    <w:rsid w:val="000D28C6"/>
    <w:rsid w:val="000F22FF"/>
    <w:rsid w:val="001C5E58"/>
    <w:rsid w:val="00291119"/>
    <w:rsid w:val="002C4977"/>
    <w:rsid w:val="00323630"/>
    <w:rsid w:val="003756F3"/>
    <w:rsid w:val="003B3008"/>
    <w:rsid w:val="003F1587"/>
    <w:rsid w:val="004D4694"/>
    <w:rsid w:val="00566016"/>
    <w:rsid w:val="00576965"/>
    <w:rsid w:val="005B2909"/>
    <w:rsid w:val="0066718F"/>
    <w:rsid w:val="00671E79"/>
    <w:rsid w:val="00677510"/>
    <w:rsid w:val="00686629"/>
    <w:rsid w:val="006B5F91"/>
    <w:rsid w:val="007039A9"/>
    <w:rsid w:val="00757131"/>
    <w:rsid w:val="007E473D"/>
    <w:rsid w:val="007E7360"/>
    <w:rsid w:val="0082618C"/>
    <w:rsid w:val="008A6AEA"/>
    <w:rsid w:val="008F59C6"/>
    <w:rsid w:val="00946E74"/>
    <w:rsid w:val="009B4F8A"/>
    <w:rsid w:val="00A01C4C"/>
    <w:rsid w:val="00A121F4"/>
    <w:rsid w:val="00A73BDF"/>
    <w:rsid w:val="00AE1437"/>
    <w:rsid w:val="00B32641"/>
    <w:rsid w:val="00BD111C"/>
    <w:rsid w:val="00BE2DD9"/>
    <w:rsid w:val="00C07771"/>
    <w:rsid w:val="00C23CF3"/>
    <w:rsid w:val="00C306AB"/>
    <w:rsid w:val="00C75C27"/>
    <w:rsid w:val="00CE4F7B"/>
    <w:rsid w:val="00DC0FDC"/>
    <w:rsid w:val="00E33447"/>
    <w:rsid w:val="00EC2DAC"/>
    <w:rsid w:val="00ED7806"/>
    <w:rsid w:val="00EF159D"/>
    <w:rsid w:val="00F15611"/>
    <w:rsid w:val="00F45663"/>
    <w:rsid w:val="00F47CE8"/>
    <w:rsid w:val="0A8630F5"/>
    <w:rsid w:val="673A35D6"/>
    <w:rsid w:val="7A10027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995E1"/>
  <w15:docId w15:val="{2A67EABA-7FEB-4336-B83A-16664D48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FDC"/>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rsid w:val="00DC0FDC"/>
    <w:rPr>
      <w:rFonts w:ascii="宋体" w:eastAsia="宋体"/>
      <w:sz w:val="18"/>
      <w:szCs w:val="18"/>
    </w:rPr>
  </w:style>
  <w:style w:type="paragraph" w:styleId="a5">
    <w:name w:val="footer"/>
    <w:basedOn w:val="a"/>
    <w:link w:val="a6"/>
    <w:uiPriority w:val="99"/>
    <w:unhideWhenUsed/>
    <w:rsid w:val="00DC0FDC"/>
    <w:pPr>
      <w:tabs>
        <w:tab w:val="center" w:pos="4153"/>
        <w:tab w:val="right" w:pos="8306"/>
      </w:tabs>
      <w:snapToGrid w:val="0"/>
      <w:jc w:val="left"/>
    </w:pPr>
    <w:rPr>
      <w:sz w:val="18"/>
      <w:szCs w:val="18"/>
    </w:rPr>
  </w:style>
  <w:style w:type="paragraph" w:styleId="a7">
    <w:name w:val="header"/>
    <w:basedOn w:val="a"/>
    <w:link w:val="a8"/>
    <w:uiPriority w:val="99"/>
    <w:unhideWhenUsed/>
    <w:rsid w:val="00DC0FDC"/>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semiHidden/>
    <w:unhideWhenUsed/>
    <w:rsid w:val="00DC0FDC"/>
    <w:rPr>
      <w:color w:val="0000FF"/>
      <w:u w:val="single"/>
    </w:rPr>
  </w:style>
  <w:style w:type="character" w:customStyle="1" w:styleId="a8">
    <w:name w:val="页眉 字符"/>
    <w:basedOn w:val="a0"/>
    <w:link w:val="a7"/>
    <w:uiPriority w:val="99"/>
    <w:rsid w:val="00DC0FDC"/>
    <w:rPr>
      <w:sz w:val="18"/>
      <w:szCs w:val="18"/>
    </w:rPr>
  </w:style>
  <w:style w:type="character" w:customStyle="1" w:styleId="a6">
    <w:name w:val="页脚 字符"/>
    <w:basedOn w:val="a0"/>
    <w:link w:val="a5"/>
    <w:uiPriority w:val="99"/>
    <w:rsid w:val="00DC0FDC"/>
    <w:rPr>
      <w:sz w:val="18"/>
      <w:szCs w:val="18"/>
    </w:rPr>
  </w:style>
  <w:style w:type="paragraph" w:styleId="aa">
    <w:name w:val="List Paragraph"/>
    <w:basedOn w:val="a"/>
    <w:uiPriority w:val="34"/>
    <w:qFormat/>
    <w:rsid w:val="00DC0FDC"/>
    <w:pPr>
      <w:ind w:firstLineChars="200" w:firstLine="420"/>
    </w:pPr>
  </w:style>
  <w:style w:type="character" w:customStyle="1" w:styleId="a4">
    <w:name w:val="文档结构图 字符"/>
    <w:basedOn w:val="a0"/>
    <w:link w:val="a3"/>
    <w:uiPriority w:val="99"/>
    <w:semiHidden/>
    <w:rsid w:val="00DC0FDC"/>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985</Words>
  <Characters>5620</Characters>
  <Application>Microsoft Office Word</Application>
  <DocSecurity>0</DocSecurity>
  <Lines>46</Lines>
  <Paragraphs>13</Paragraphs>
  <ScaleCrop>false</ScaleCrop>
  <Company>Lenovo</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智健 栾</cp:lastModifiedBy>
  <cp:revision>16</cp:revision>
  <dcterms:created xsi:type="dcterms:W3CDTF">2019-04-29T13:05:00Z</dcterms:created>
  <dcterms:modified xsi:type="dcterms:W3CDTF">2026-04-19T03:31:00Z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