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  <w:bookmarkStart w:id="0" w:name="_GoBack"/>
      <w:bookmarkEnd w:id="0"/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proofErr w:type="gramStart"/>
      <w:r>
        <w:rPr>
          <w:lang w:val="en-US"/>
        </w:rPr>
        <w:t>t0</w:t>
      </w:r>
      <w:proofErr w:type="gramEnd"/>
      <w:r>
        <w:rPr>
          <w:lang w:val="en-US"/>
        </w:rPr>
        <w:t xml:space="preserve">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49A01FCC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proofErr w:type="gramStart"/>
            <w:r>
              <w:rPr>
                <w:lang w:val="en-US"/>
              </w:rPr>
              <w:t>opcode</w:t>
            </w:r>
            <w:proofErr w:type="spellEnd"/>
            <w:proofErr w:type="gram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mode</w:t>
            </w:r>
            <w:proofErr w:type="gramEnd"/>
            <w:r>
              <w:rPr>
                <w:lang w:val="en-US"/>
              </w:rPr>
              <w:t xml:space="preserve">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proofErr w:type="gramStart"/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559" w:type="dxa"/>
            <w:vAlign w:val="center"/>
          </w:tcPr>
          <w:p w14:paraId="260D4ACA" w14:textId="4412492F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7EFF3FB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4F842834" w:rsidR="002F50EC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7904B343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PC+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rd</w:t>
            </w:r>
            <w:proofErr w:type="spellEnd"/>
            <w:r>
              <w:rPr>
                <w:rFonts w:eastAsiaTheme="minorEastAsia"/>
              </w:rPr>
              <w:t>]+</w:t>
            </w:r>
            <w:r w:rsidRPr="002E5C18">
              <w:rPr>
                <w:rFonts w:eastAsiaTheme="minorEastAsia"/>
                <w:highlight w:val="yellow"/>
              </w:rPr>
              <w:t>?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2F50EC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13F78908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36B297A7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2F50EC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7EA3E4D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7C70ABEB" w:rsidR="00D06442" w:rsidRPr="00E360D3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2F50EC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160BB26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69E83ED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2F50EC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7F7F7F" w:themeFill="text1" w:themeFillTint="80"/>
            <w:vAlign w:val="center"/>
          </w:tcPr>
          <w:p w14:paraId="0EEAC18D" w14:textId="77777777" w:rsidR="00D06442" w:rsidRPr="00E360D3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6412D58C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B2EB61F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+ </w:t>
            </w:r>
            <w:r w:rsidRPr="002E5C18">
              <w:rPr>
                <w:highlight w:val="yellow"/>
              </w:rPr>
              <w:t>?</w:t>
            </w:r>
            <w:r>
              <w:t>;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proofErr w:type="gram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C5A9D9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Pr="002E5C18">
              <w:rPr>
                <w:rFonts w:eastAsiaTheme="minorEastAsia"/>
                <w:highlight w:val="yellow"/>
              </w:rPr>
              <w:t>?</w:t>
            </w:r>
            <w:r>
              <w:rPr>
                <w:rFonts w:eastAsiaTheme="minorEastAsia"/>
              </w:rPr>
              <w:t>;PC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proofErr w:type="gram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zero</w:t>
            </w:r>
            <w:proofErr w:type="gramEnd"/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t0</w:t>
            </w:r>
            <w:proofErr w:type="gramEnd"/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t1</w:t>
            </w:r>
            <w:proofErr w:type="gramEnd"/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t2</w:t>
            </w:r>
            <w:proofErr w:type="gramEnd"/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77CD3"/>
    <w:rsid w:val="0040203D"/>
    <w:rsid w:val="00412C9F"/>
    <w:rsid w:val="0044448F"/>
    <w:rsid w:val="004564B2"/>
    <w:rsid w:val="00493A26"/>
    <w:rsid w:val="004A4248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0D6C8-8D42-CE42-807C-C0A7C0F4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386</Words>
  <Characters>2172</Characters>
  <Application>Microsoft Macintosh Word</Application>
  <DocSecurity>0</DocSecurity>
  <Lines>31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17</cp:revision>
  <dcterms:created xsi:type="dcterms:W3CDTF">2012-03-18T17:12:00Z</dcterms:created>
  <dcterms:modified xsi:type="dcterms:W3CDTF">2015-03-19T06:26:00Z</dcterms:modified>
</cp:coreProperties>
</file>