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:rsidTr="000B35C8">
        <w:trPr>
          <w:trHeight w:val="555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:rsidTr="000B35C8">
        <w:trPr>
          <w:trHeight w:val="694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0B35C8">
        <w:trPr>
          <w:trHeight w:val="703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0B35C8">
        <w:trPr>
          <w:trHeight w:val="69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8"/>
        </w:trPr>
        <w:tc>
          <w:tcPr>
            <w:tcW w:w="2389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:rsidTr="000B35C8">
        <w:trPr>
          <w:trHeight w:val="689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1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:rsidTr="000B35C8">
        <w:trPr>
          <w:trHeight w:val="585"/>
        </w:trPr>
        <w:tc>
          <w:tcPr>
            <w:tcW w:w="2389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0B35C8">
        <w:tblPrEx>
          <w:tblLook w:val="0000"/>
        </w:tblPrEx>
        <w:trPr>
          <w:trHeight w:val="690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85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Tr="000B35C8">
        <w:tblPrEx>
          <w:tblLook w:val="0000"/>
        </w:tblPrEx>
        <w:trPr>
          <w:trHeight w:val="45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6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2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2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0B35C8">
        <w:tblPrEx>
          <w:tblLook w:val="0000"/>
        </w:tblPrEx>
        <w:trPr>
          <w:trHeight w:val="34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Pr="004F1A7E" w:rsidRDefault="004F1A7E" w:rsidP="004F1A7E"/>
    <w:p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:rsidTr="004F1A7E">
        <w:trPr>
          <w:trHeight w:val="694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4F1A7E">
        <w:trPr>
          <w:trHeight w:val="703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4F1A7E">
        <w:trPr>
          <w:trHeight w:val="69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4F1A7E">
        <w:trPr>
          <w:trHeight w:val="708"/>
        </w:trPr>
        <w:tc>
          <w:tcPr>
            <w:tcW w:w="2390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:rsidTr="004F1A7E">
        <w:trPr>
          <w:trHeight w:val="585"/>
        </w:trPr>
        <w:tc>
          <w:tcPr>
            <w:tcW w:w="2390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4F1A7E">
        <w:tblPrEx>
          <w:tblLook w:val="0000"/>
        </w:tblPrEx>
        <w:trPr>
          <w:trHeight w:val="690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85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4F1A7E">
        <w:tblPrEx>
          <w:tblLook w:val="0000"/>
        </w:tblPrEx>
        <w:trPr>
          <w:trHeight w:val="45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6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2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2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4F1A7E">
        <w:tblPrEx>
          <w:tblLook w:val="0000"/>
        </w:tblPrEx>
        <w:trPr>
          <w:trHeight w:val="34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BF2316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384pt" o:ole="">
            <v:imagedata r:id="rId6" o:title=""/>
          </v:shape>
          <o:OLEObject Type="Embed" ProgID="Visio.Drawing.15" ShapeID="_x0000_i1025" DrawAspect="Content" ObjectID="_1490635178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  <w:r w:rsidR="00C83E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63" w:type="dxa"/>
          </w:tcPr>
          <w:p w:rsidR="00C83ECE" w:rsidRPr="00C83ECE" w:rsidRDefault="00C83ECE" w:rsidP="003523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регистр </w:t>
            </w:r>
            <w:r w:rsidR="00352383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6763" w:type="dxa"/>
          </w:tcPr>
          <w:p w:rsidR="00C83ECE" w:rsidRPr="00C83ECE" w:rsidRDefault="00352383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в регистр 0011 -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регистра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C0013A" w:rsidTr="00C0013A"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C0013A" w:rsidTr="00C0013A">
        <w:tc>
          <w:tcPr>
            <w:tcW w:w="2391" w:type="dxa"/>
          </w:tcPr>
          <w:p w:rsidR="00C0013A" w:rsidRPr="0048432E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9:0</w:t>
            </w:r>
          </w:p>
        </w:tc>
        <w:tc>
          <w:tcPr>
            <w:tcW w:w="2391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2392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</w:tr>
      <w:tr w:rsidR="00C0013A" w:rsidTr="00C0013A">
        <w:tc>
          <w:tcPr>
            <w:tcW w:w="2391" w:type="dxa"/>
          </w:tcPr>
          <w:p w:rsidR="00C0013A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19:10</w:t>
            </w:r>
          </w:p>
        </w:tc>
        <w:tc>
          <w:tcPr>
            <w:tcW w:w="2391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2391" w:type="dxa"/>
          </w:tcPr>
          <w:p w:rsidR="00C0013A" w:rsidRPr="005E1A80" w:rsidRDefault="0048432E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bookmarkStart w:id="0" w:name="_GoBack"/>
            <w:bookmarkEnd w:id="0"/>
            <w:r w:rsidR="005E1A80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2392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</w:tr>
      <w:tr w:rsidR="00C0013A" w:rsidTr="00C0013A">
        <w:tc>
          <w:tcPr>
            <w:tcW w:w="2391" w:type="dxa"/>
          </w:tcPr>
          <w:p w:rsidR="00C0013A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20</w:t>
            </w:r>
          </w:p>
        </w:tc>
        <w:tc>
          <w:tcPr>
            <w:tcW w:w="2391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2391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C0013A" w:rsidRDefault="005E1A80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данные переданы</w:t>
            </w:r>
          </w:p>
        </w:tc>
      </w:tr>
      <w:tr w:rsidR="005E1A80" w:rsidTr="00C0013A">
        <w:tc>
          <w:tcPr>
            <w:tcW w:w="2391" w:type="dxa"/>
          </w:tcPr>
          <w:p w:rsid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2391" w:type="dxa"/>
          </w:tcPr>
          <w:p w:rsidR="005E1A80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2391" w:type="dxa"/>
          </w:tcPr>
          <w:p w:rsid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Pr="005E1A80" w:rsidRDefault="005E1A80" w:rsidP="005E1A80">
            <w:pPr>
              <w:rPr>
                <w:rFonts w:ascii="Times New Roman" w:hAnsi="Times New Roman" w:cs="Times New Roman"/>
                <w:sz w:val="28"/>
              </w:rPr>
            </w:pPr>
            <w:r w:rsidRPr="005E1A80">
              <w:rPr>
                <w:rFonts w:ascii="Times New Roman" w:hAnsi="Times New Roman" w:cs="Times New Roman"/>
                <w:sz w:val="28"/>
              </w:rPr>
              <w:t>Принимает значение 1, если нужно что-то прочитать из памяти</w:t>
            </w:r>
          </w:p>
        </w:tc>
      </w:tr>
      <w:tr w:rsidR="005E1A80" w:rsidTr="00C0013A">
        <w:tc>
          <w:tcPr>
            <w:tcW w:w="2391" w:type="dxa"/>
          </w:tcPr>
          <w:p w:rsidR="005E1A80" w:rsidRDefault="00A37E36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Pr="00A37E36" w:rsidRDefault="00A37E36" w:rsidP="00A37E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Данные, прочитанные из памяти</w:t>
            </w:r>
          </w:p>
        </w:tc>
      </w:tr>
      <w:tr w:rsidR="005E1A80" w:rsidTr="00C0013A"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25:16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Default="00A37E36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Текущий адрес, полученный от памяти</w:t>
            </w:r>
          </w:p>
        </w:tc>
      </w:tr>
      <w:tr w:rsidR="005E1A80" w:rsidTr="00C0013A">
        <w:tc>
          <w:tcPr>
            <w:tcW w:w="2391" w:type="dxa"/>
          </w:tcPr>
          <w:p w:rsidR="005E1A80" w:rsidRDefault="00A37E36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Default="00A37E36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</w:tr>
    </w:tbl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t>UART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Pr="002C525C" w:rsidRDefault="002C525C" w:rsidP="002C525C">
      <w:pPr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UART</w:t>
      </w:r>
      <w:r w:rsidRPr="002C525C">
        <w:rPr>
          <w:rFonts w:ascii="Times New Roman" w:hAnsi="Times New Roman" w:cs="Times New Roman"/>
          <w:iCs/>
          <w:lang w:val="en-US"/>
        </w:rPr>
        <w:t xml:space="preserve"> (</w:t>
      </w:r>
      <w:r w:rsidRPr="005E1A80">
        <w:rPr>
          <w:rFonts w:ascii="Times New Roman" w:hAnsi="Times New Roman" w:cs="Times New Roman"/>
          <w:iCs/>
          <w:lang w:val="en-US"/>
        </w:rPr>
        <w:t>Universal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 w:rsidRPr="005E1A80">
        <w:rPr>
          <w:rFonts w:ascii="Times New Roman" w:hAnsi="Times New Roman" w:cs="Times New Roman"/>
          <w:iCs/>
          <w:lang w:val="en-US"/>
        </w:rPr>
        <w:t>Asynchronous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 w:rsidRPr="005E1A80">
        <w:rPr>
          <w:rFonts w:ascii="Times New Roman" w:hAnsi="Times New Roman" w:cs="Times New Roman"/>
          <w:iCs/>
          <w:lang w:val="en-US"/>
        </w:rPr>
        <w:t>Receiver</w:t>
      </w:r>
      <w:r w:rsidRPr="002C525C">
        <w:rPr>
          <w:rFonts w:ascii="Times New Roman" w:hAnsi="Times New Roman" w:cs="Times New Roman"/>
          <w:iCs/>
          <w:lang w:val="en-US"/>
        </w:rPr>
        <w:t>-</w:t>
      </w:r>
      <w:r w:rsidRPr="005E1A80">
        <w:rPr>
          <w:rFonts w:ascii="Times New Roman" w:hAnsi="Times New Roman" w:cs="Times New Roman"/>
          <w:iCs/>
          <w:lang w:val="en-US"/>
        </w:rPr>
        <w:t>Transmitter</w:t>
      </w:r>
      <w:r w:rsidRPr="002C525C">
        <w:rPr>
          <w:rFonts w:ascii="Times New Roman" w:hAnsi="Times New Roman" w:cs="Times New Roman"/>
          <w:iCs/>
          <w:lang w:val="en-US"/>
        </w:rPr>
        <w:t xml:space="preserve">) - </w:t>
      </w:r>
      <w:r>
        <w:rPr>
          <w:rFonts w:ascii="Times New Roman" w:hAnsi="Times New Roman" w:cs="Times New Roman"/>
          <w:iCs/>
        </w:rPr>
        <w:t>универсальный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асинхронный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приемник</w:t>
      </w:r>
      <w:r w:rsidRPr="002C525C">
        <w:rPr>
          <w:rFonts w:ascii="Times New Roman" w:hAnsi="Times New Roman" w:cs="Times New Roman"/>
          <w:iCs/>
          <w:lang w:val="en-US"/>
        </w:rPr>
        <w:t>-</w:t>
      </w:r>
      <w:r>
        <w:rPr>
          <w:rFonts w:ascii="Times New Roman" w:hAnsi="Times New Roman" w:cs="Times New Roman"/>
          <w:iCs/>
        </w:rPr>
        <w:t>передатчик</w:t>
      </w:r>
      <w:r w:rsidRPr="002C525C">
        <w:rPr>
          <w:rFonts w:ascii="Times New Roman" w:hAnsi="Times New Roman" w:cs="Times New Roman"/>
          <w:iCs/>
          <w:lang w:val="en-US"/>
        </w:rPr>
        <w:t xml:space="preserve">, </w:t>
      </w:r>
      <w:r>
        <w:rPr>
          <w:rFonts w:ascii="Times New Roman" w:hAnsi="Times New Roman" w:cs="Times New Roman"/>
          <w:iCs/>
        </w:rPr>
        <w:t>интерфейс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для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последовательной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передачи</w:t>
      </w:r>
      <w:r w:rsidRPr="002C525C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</w:rPr>
        <w:t>данных</w:t>
      </w:r>
      <w:r w:rsidRPr="002C525C">
        <w:rPr>
          <w:rFonts w:ascii="Times New Roman" w:hAnsi="Times New Roman" w:cs="Times New Roman"/>
          <w:iCs/>
          <w:lang w:val="en-US"/>
        </w:rPr>
        <w:t xml:space="preserve">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2C525C">
        <w:rPr>
          <w:rFonts w:ascii="Times New Roman" w:hAnsi="Times New Roman" w:cs="Times New Roman"/>
          <w:iCs/>
          <w:lang w:val="en-US"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proofErr w:type="spellStart"/>
      <w:r w:rsidRPr="00EC3E36">
        <w:rPr>
          <w:rFonts w:ascii="Times New Roman" w:hAnsi="Times New Roman" w:cs="Times New Roman"/>
          <w:iCs/>
        </w:rPr>
        <w:t>трансмитера</w:t>
      </w:r>
      <w:proofErr w:type="spellEnd"/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>
        <w:rPr>
          <w:rFonts w:ascii="Times New Roman" w:hAnsi="Times New Roman" w:cs="Times New Roman"/>
          <w:iCs/>
        </w:rPr>
        <w:t xml:space="preserve"> 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</w:t>
      </w:r>
      <w:r w:rsidRPr="00A82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characterSpacingControl w:val="doNotCompress"/>
  <w:compat>
    <w:useFELayout/>
  </w:compat>
  <w:rsids>
    <w:rsidRoot w:val="00296834"/>
    <w:rsid w:val="00004F97"/>
    <w:rsid w:val="000B35C8"/>
    <w:rsid w:val="000F1345"/>
    <w:rsid w:val="001404D7"/>
    <w:rsid w:val="001856DC"/>
    <w:rsid w:val="001E3823"/>
    <w:rsid w:val="001F3FB4"/>
    <w:rsid w:val="00296834"/>
    <w:rsid w:val="002A198E"/>
    <w:rsid w:val="002C525C"/>
    <w:rsid w:val="002D16A7"/>
    <w:rsid w:val="002D2954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8432E"/>
    <w:rsid w:val="004955E9"/>
    <w:rsid w:val="004F1A7E"/>
    <w:rsid w:val="005429B6"/>
    <w:rsid w:val="00575786"/>
    <w:rsid w:val="005E1A80"/>
    <w:rsid w:val="006231BE"/>
    <w:rsid w:val="006236A8"/>
    <w:rsid w:val="006241FA"/>
    <w:rsid w:val="007000B3"/>
    <w:rsid w:val="00715B92"/>
    <w:rsid w:val="008015EC"/>
    <w:rsid w:val="00880D7A"/>
    <w:rsid w:val="008D0505"/>
    <w:rsid w:val="009A7D79"/>
    <w:rsid w:val="009C0970"/>
    <w:rsid w:val="00A37E36"/>
    <w:rsid w:val="00A73B88"/>
    <w:rsid w:val="00A96CAA"/>
    <w:rsid w:val="00AD20B2"/>
    <w:rsid w:val="00AD3D0A"/>
    <w:rsid w:val="00AE205E"/>
    <w:rsid w:val="00B429FA"/>
    <w:rsid w:val="00BA02AA"/>
    <w:rsid w:val="00BF2316"/>
    <w:rsid w:val="00C0013A"/>
    <w:rsid w:val="00C83ECE"/>
    <w:rsid w:val="00CB5F42"/>
    <w:rsid w:val="00CF0E15"/>
    <w:rsid w:val="00D47ED8"/>
    <w:rsid w:val="00D7085F"/>
    <w:rsid w:val="00DB6D51"/>
    <w:rsid w:val="00DC4C10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688EBA-115F-B349-BCBA-2C1EF790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12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valgla</cp:lastModifiedBy>
  <cp:revision>33</cp:revision>
  <dcterms:created xsi:type="dcterms:W3CDTF">2015-03-13T07:35:00Z</dcterms:created>
  <dcterms:modified xsi:type="dcterms:W3CDTF">2015-04-15T16:33:00Z</dcterms:modified>
</cp:coreProperties>
</file>