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2455" w14:textId="77777777" w:rsidR="006A3A58" w:rsidRPr="00E54B1F" w:rsidRDefault="00E54B1F" w:rsidP="00E54B1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E54B1F">
        <w:rPr>
          <w:rFonts w:ascii="Times New Roman" w:hAnsi="Times New Roman" w:cs="Times New Roman"/>
          <w:b/>
          <w:sz w:val="28"/>
        </w:rPr>
        <w:t>«Программная реализация алгоритма централизованной автоматики ликвидации асинхронного режима»</w:t>
      </w:r>
    </w:p>
    <w:p w14:paraId="1447A780" w14:textId="77777777" w:rsidR="009A3438" w:rsidRDefault="009A3438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</w:p>
    <w:p w14:paraId="1BF18C14" w14:textId="77777777" w:rsidR="00E54B1F" w:rsidRPr="009A3438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9A3438">
        <w:rPr>
          <w:rFonts w:ascii="Times New Roman" w:hAnsi="Times New Roman" w:cs="Times New Roman"/>
          <w:b/>
          <w:sz w:val="28"/>
        </w:rPr>
        <w:t>Список сокращений</w:t>
      </w:r>
    </w:p>
    <w:p w14:paraId="1C97A60C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00C9D87B" w14:textId="77777777" w:rsidR="00E54B1F" w:rsidRDefault="009A3438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A828A0C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5CF6E45F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06A3F90A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5B95B705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199B121C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6D128719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телеинформация</w:t>
      </w:r>
    </w:p>
    <w:p w14:paraId="7AD5BC7F" w14:textId="77777777" w:rsidR="009A3438" w:rsidRDefault="009A3438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74AD3C0F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34E60941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77FDDB8D" w14:textId="77777777" w:rsidR="00680777" w:rsidRPr="00680777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>«I-ДО»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основан на применении математической модели в составе комплекса противоаварийной автоматики, с помощью которой циклически производится расчет дозировки воздействий с последующей их передачей в устройство АЗД.</w:t>
      </w:r>
    </w:p>
    <w:p w14:paraId="60DCA15D" w14:textId="77777777" w:rsidR="009A3438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 xml:space="preserve"> «II-ДО»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основывается только на проведении большого объема предварительных расчетов, на основе которых заполняются таблицы доз</w:t>
      </w:r>
      <w:r>
        <w:rPr>
          <w:rFonts w:ascii="Times New Roman" w:hAnsi="Times New Roman" w:cs="Times New Roman"/>
          <w:sz w:val="28"/>
        </w:rPr>
        <w:t>ировки управляющих воздействий.</w:t>
      </w:r>
    </w:p>
    <w:p w14:paraId="0B27516B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E6B272C" w14:textId="77777777" w:rsidR="00680777" w:rsidRP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680777">
        <w:rPr>
          <w:rFonts w:ascii="Times New Roman" w:hAnsi="Times New Roman" w:cs="Times New Roman"/>
          <w:b/>
          <w:sz w:val="28"/>
        </w:rPr>
        <w:t>Основная часть</w:t>
      </w:r>
    </w:p>
    <w:p w14:paraId="6FCAB0C0" w14:textId="77777777" w:rsidR="00E54B1F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компонентов представлена на рисунках 1 и 2.</w:t>
      </w:r>
    </w:p>
    <w:p w14:paraId="4DEBB9FF" w14:textId="77777777" w:rsidR="00680777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 даны пояснения к компонентам.</w:t>
      </w:r>
    </w:p>
    <w:p w14:paraId="674B5C67" w14:textId="77777777" w:rsidR="00680777" w:rsidRDefault="00680777" w:rsidP="0068077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Предполагаемые протоколы взаимодействия с внешними системами представлены в таблице 2.</w:t>
      </w:r>
    </w:p>
    <w:p w14:paraId="5124C36B" w14:textId="77777777" w:rsidR="00680777" w:rsidRDefault="00680777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69BE36" w14:textId="77777777"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565A946" wp14:editId="281B9B87">
            <wp:extent cx="5940393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40425" cy="45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2C508" w14:textId="77777777"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компонентов</w:t>
      </w:r>
    </w:p>
    <w:p w14:paraId="063D8C37" w14:textId="77777777"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2A4D41" wp14:editId="5FE28DD4">
            <wp:extent cx="5940393" cy="2955925"/>
            <wp:effectExtent l="0" t="0" r="3810" b="0"/>
            <wp:docPr id="2" name="Рисунок 2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65"/>
                    <a:stretch/>
                  </pic:blipFill>
                  <pic:spPr bwMode="auto">
                    <a:xfrm>
                      <a:off x="0" y="0"/>
                      <a:ext cx="5940425" cy="295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D853" w14:textId="77777777" w:rsidR="00E54B1F" w:rsidRDefault="00E54B1F" w:rsidP="00E54B1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компонентов для подсистемы «Формирования набора данных»</w:t>
      </w:r>
    </w:p>
    <w:p w14:paraId="59CFA06C" w14:textId="77777777"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D4A38E4" w14:textId="77777777"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  <w:sectPr w:rsidR="00E54B1F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752B49" w14:textId="77777777" w:rsidR="00E54B1F" w:rsidRPr="00674451" w:rsidRDefault="00E54B1F" w:rsidP="00E54B1F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TableGrid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E54B1F" w:rsidRPr="00674451" w14:paraId="6A9ED20F" w14:textId="77777777" w:rsidTr="00E02754">
        <w:tc>
          <w:tcPr>
            <w:tcW w:w="2405" w:type="dxa"/>
          </w:tcPr>
          <w:p w14:paraId="710A9304" w14:textId="77777777"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3DB6F844" w14:textId="77777777"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5F0D44" w14:textId="77777777"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C8CA4E5" w14:textId="77777777" w:rsidR="00E54B1F" w:rsidRPr="00674451" w:rsidRDefault="00E54B1F" w:rsidP="00341F79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E54B1F" w:rsidRPr="00674451" w14:paraId="16B4D9E9" w14:textId="77777777" w:rsidTr="00E02754">
        <w:tc>
          <w:tcPr>
            <w:tcW w:w="2405" w:type="dxa"/>
          </w:tcPr>
          <w:p w14:paraId="69ED86CD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58596241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781B3426" w14:textId="77777777" w:rsidR="00E54B1F" w:rsidRPr="00674451" w:rsidRDefault="00E54B1F" w:rsidP="00E54B1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6AC7C28" w14:textId="77777777" w:rsidR="00E54B1F" w:rsidRPr="00674451" w:rsidRDefault="00E54B1F" w:rsidP="00E54B1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6223E92A" w14:textId="77777777" w:rsidR="00E54B1F" w:rsidRPr="00674451" w:rsidRDefault="00E54B1F" w:rsidP="00E54B1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E54B1F" w:rsidRPr="00674451" w14:paraId="096C8F90" w14:textId="77777777" w:rsidTr="00E02754">
        <w:tc>
          <w:tcPr>
            <w:tcW w:w="2405" w:type="dxa"/>
          </w:tcPr>
          <w:p w14:paraId="33187778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4CABF66F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7C19D0DE" w14:textId="77777777" w:rsidR="00E54B1F" w:rsidRPr="00674451" w:rsidRDefault="00E54B1F" w:rsidP="00E54B1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056EDEF8" w14:textId="77777777" w:rsidR="00E54B1F" w:rsidRPr="00674451" w:rsidRDefault="00E54B1F" w:rsidP="00E54B1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E54B1F" w:rsidRPr="00674451" w14:paraId="62249A37" w14:textId="77777777" w:rsidTr="00E02754">
        <w:tc>
          <w:tcPr>
            <w:tcW w:w="2405" w:type="dxa"/>
          </w:tcPr>
          <w:p w14:paraId="24CC3505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491AD303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51DFDE5" w14:textId="77777777" w:rsidR="00E54B1F" w:rsidRPr="00674451" w:rsidRDefault="00E54B1F" w:rsidP="00E54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AA211F0" w14:textId="77777777" w:rsidR="00E54B1F" w:rsidRPr="00674451" w:rsidRDefault="00E54B1F" w:rsidP="00E54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0696CC34" w14:textId="77777777" w:rsidR="00E54B1F" w:rsidRPr="00674451" w:rsidRDefault="00E54B1F" w:rsidP="00E54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E54B1F" w:rsidRPr="00674451" w14:paraId="688FAE25" w14:textId="77777777" w:rsidTr="00E02754">
        <w:tc>
          <w:tcPr>
            <w:tcW w:w="2405" w:type="dxa"/>
          </w:tcPr>
          <w:p w14:paraId="313D1A15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101E52E7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765F0F07" w14:textId="77777777" w:rsidR="00E54B1F" w:rsidRPr="00674451" w:rsidRDefault="00E54B1F" w:rsidP="00E54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D078B4" w14:textId="77777777" w:rsidR="00E54B1F" w:rsidRPr="00674451" w:rsidRDefault="00E54B1F" w:rsidP="00E54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53B3604A" w14:textId="77777777" w:rsidR="00E54B1F" w:rsidRDefault="00E54B1F" w:rsidP="00E54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381DAFD" w14:textId="77777777" w:rsidR="00E54B1F" w:rsidRPr="00674451" w:rsidRDefault="00E54B1F" w:rsidP="00E54B1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47BAE929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14:paraId="7CC28423" w14:textId="77777777" w:rsidTr="00E02754">
        <w:tc>
          <w:tcPr>
            <w:tcW w:w="2405" w:type="dxa"/>
          </w:tcPr>
          <w:p w14:paraId="6B18C2FD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2FFD6649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749DA75" w14:textId="77777777" w:rsidR="00E54B1F" w:rsidRPr="00674451" w:rsidRDefault="00E54B1F" w:rsidP="00E54B1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574E8F79" w14:textId="77777777" w:rsidR="00E54B1F" w:rsidRPr="00674451" w:rsidRDefault="00E54B1F" w:rsidP="00E54B1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7BE2EE0B" w14:textId="77777777" w:rsidR="00E54B1F" w:rsidRPr="00674451" w:rsidRDefault="00E54B1F" w:rsidP="00E54B1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4BD31B13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14:paraId="353A9764" w14:textId="77777777" w:rsidTr="00E02754">
        <w:tc>
          <w:tcPr>
            <w:tcW w:w="2405" w:type="dxa"/>
          </w:tcPr>
          <w:p w14:paraId="4D54238E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2FE4EDB5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 xml:space="preserve">Сформировать набор возможных режимов работы </w:t>
            </w:r>
            <w:commentRangeStart w:id="0"/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ЭЭС</w:t>
            </w:r>
            <w:commentRangeEnd w:id="0"/>
            <w:r w:rsidR="001F1902">
              <w:rPr>
                <w:rStyle w:val="CommentReference"/>
              </w:rPr>
              <w:commentReference w:id="0"/>
            </w:r>
          </w:p>
        </w:tc>
        <w:tc>
          <w:tcPr>
            <w:tcW w:w="4395" w:type="dxa"/>
          </w:tcPr>
          <w:p w14:paraId="7C7FFA8A" w14:textId="77777777" w:rsidR="00E54B1F" w:rsidRPr="00674451" w:rsidRDefault="00E54B1F" w:rsidP="00E54B1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54BB6C67" w14:textId="77777777" w:rsidR="00E54B1F" w:rsidRPr="00674451" w:rsidRDefault="00E54B1F" w:rsidP="00E54B1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E54B1F" w:rsidRPr="00674451" w14:paraId="6EADF135" w14:textId="77777777" w:rsidTr="00E02754">
        <w:tc>
          <w:tcPr>
            <w:tcW w:w="2405" w:type="dxa"/>
          </w:tcPr>
          <w:p w14:paraId="23CEA75B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определения потенциальных сечений ДС</w:t>
            </w:r>
          </w:p>
        </w:tc>
        <w:tc>
          <w:tcPr>
            <w:tcW w:w="3974" w:type="dxa"/>
          </w:tcPr>
          <w:p w14:paraId="49F7013C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23F736F6" w14:textId="77777777" w:rsidR="00E54B1F" w:rsidRPr="00674451" w:rsidRDefault="00E54B1F" w:rsidP="00E54B1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5E043EE0" w14:textId="77777777" w:rsidR="00E54B1F" w:rsidRPr="00674451" w:rsidRDefault="00E54B1F" w:rsidP="00E54B1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3ED0A77" w14:textId="77777777" w:rsidR="00E54B1F" w:rsidRPr="00674451" w:rsidRDefault="00E54B1F" w:rsidP="00E54B1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17B75113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14:paraId="2A6433A7" w14:textId="77777777" w:rsidTr="00E02754">
        <w:tc>
          <w:tcPr>
            <w:tcW w:w="2405" w:type="dxa"/>
          </w:tcPr>
          <w:p w14:paraId="220B7E02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Модуль моделирования ПП</w:t>
            </w:r>
          </w:p>
        </w:tc>
        <w:tc>
          <w:tcPr>
            <w:tcW w:w="3974" w:type="dxa"/>
          </w:tcPr>
          <w:p w14:paraId="2DEDE107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19DE9C44" w14:textId="77777777" w:rsidR="00E54B1F" w:rsidRPr="00674451" w:rsidRDefault="00E54B1F" w:rsidP="00E54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C1DA490" w14:textId="77777777" w:rsidR="00E54B1F" w:rsidRPr="00674451" w:rsidRDefault="00E54B1F" w:rsidP="00E54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683EE334" w14:textId="77777777" w:rsidR="00E54B1F" w:rsidRPr="00674451" w:rsidRDefault="00E54B1F" w:rsidP="00E54B1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4F9F3940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14:paraId="12FB6A5E" w14:textId="77777777" w:rsidTr="00E02754">
        <w:tc>
          <w:tcPr>
            <w:tcW w:w="2405" w:type="dxa"/>
          </w:tcPr>
          <w:p w14:paraId="611E5A9E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RastrWin3</w:t>
            </w:r>
          </w:p>
        </w:tc>
        <w:tc>
          <w:tcPr>
            <w:tcW w:w="3974" w:type="dxa"/>
          </w:tcPr>
          <w:p w14:paraId="64874E24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35CDA6C0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2D82EE44" w14:textId="77777777" w:rsidR="00E54B1F" w:rsidRPr="00674451" w:rsidRDefault="00E54B1F" w:rsidP="00E54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E54B1F" w:rsidRPr="00674451" w14:paraId="15D4AD62" w14:textId="77777777" w:rsidTr="00E02754">
        <w:tc>
          <w:tcPr>
            <w:tcW w:w="2405" w:type="dxa"/>
          </w:tcPr>
          <w:p w14:paraId="522C4C73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087DA961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57D79A4C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054727F6" w14:textId="77777777" w:rsidR="00E54B1F" w:rsidRPr="00674451" w:rsidRDefault="00E54B1F" w:rsidP="00E54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E54B1F" w:rsidRPr="00674451" w14:paraId="1416B3C0" w14:textId="77777777" w:rsidTr="00E02754">
        <w:tc>
          <w:tcPr>
            <w:tcW w:w="2405" w:type="dxa"/>
          </w:tcPr>
          <w:p w14:paraId="1B0C581A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439CAC92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6C952FAF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325333D4" w14:textId="77777777" w:rsidR="00E54B1F" w:rsidRPr="00674451" w:rsidRDefault="00E54B1F" w:rsidP="00E54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CF80B2E" w14:textId="77777777" w:rsidR="00E54B1F" w:rsidRPr="00674451" w:rsidRDefault="00E54B1F" w:rsidP="00E54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2D1C246" w14:textId="77777777" w:rsidR="00E54B1F" w:rsidRPr="00674451" w:rsidRDefault="00E54B1F" w:rsidP="00E54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E54B1F" w:rsidRPr="00674451" w14:paraId="0CAD64C0" w14:textId="77777777" w:rsidTr="00E02754">
        <w:tc>
          <w:tcPr>
            <w:tcW w:w="2405" w:type="dxa"/>
          </w:tcPr>
          <w:p w14:paraId="45FA88B1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Оперативно-информационный комплекс</w:t>
            </w:r>
          </w:p>
        </w:tc>
        <w:tc>
          <w:tcPr>
            <w:tcW w:w="3974" w:type="dxa"/>
          </w:tcPr>
          <w:p w14:paraId="375AD421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Приём, обработка, передача и хранение телеметрической информации о режиме работы энергетической системы, 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3288CA0F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BC73A5" w14:textId="77777777" w:rsidR="00E54B1F" w:rsidRPr="00674451" w:rsidRDefault="00E54B1F" w:rsidP="00E54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E54B1F" w:rsidRPr="00674451" w14:paraId="5E2176A6" w14:textId="77777777" w:rsidTr="00E02754">
        <w:tc>
          <w:tcPr>
            <w:tcW w:w="2405" w:type="dxa"/>
          </w:tcPr>
          <w:p w14:paraId="72FECB20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33C37F5D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6DF9EC9F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27F787CC" w14:textId="77777777" w:rsidR="00E54B1F" w:rsidRPr="00674451" w:rsidRDefault="00E54B1F" w:rsidP="00E54B1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E54B1F" w:rsidRPr="00674451" w14:paraId="00427C59" w14:textId="77777777" w:rsidTr="00E02754">
        <w:tc>
          <w:tcPr>
            <w:tcW w:w="2405" w:type="dxa"/>
          </w:tcPr>
          <w:p w14:paraId="44D19A77" w14:textId="77777777" w:rsidR="00E54B1F" w:rsidRPr="00674451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381FB11B" w14:textId="77777777" w:rsidR="00E54B1F" w:rsidRPr="00674451" w:rsidRDefault="00E54B1F" w:rsidP="00E02754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 w:rsidR="00E02754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32DA2589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DED29B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E54B1F" w:rsidRPr="00674451" w14:paraId="1B4090B9" w14:textId="77777777" w:rsidTr="00E02754">
        <w:tc>
          <w:tcPr>
            <w:tcW w:w="2405" w:type="dxa"/>
          </w:tcPr>
          <w:p w14:paraId="11A91583" w14:textId="77777777" w:rsidR="00E54B1F" w:rsidRPr="00E54B1F" w:rsidRDefault="00E54B1F" w:rsidP="00341F79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EAAF864" w14:textId="77777777" w:rsidR="00E54B1F" w:rsidRPr="00674451" w:rsidRDefault="001D3DDD" w:rsidP="001D3DD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="00E54B1F"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="00E54B1F"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2007E635" w14:textId="77777777" w:rsidR="00E54B1F" w:rsidRPr="00674451" w:rsidRDefault="00E54B1F" w:rsidP="00341F79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6A174F0D" w14:textId="77777777" w:rsidR="00E54B1F" w:rsidRPr="001D3DDD" w:rsidRDefault="001D3DDD" w:rsidP="001D3DD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16FCCB5F" w14:textId="77777777"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B12BDE5" w14:textId="77777777" w:rsidR="001D3DDD" w:rsidRDefault="001D3DDD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  <w:sectPr w:rsidR="001D3DDD" w:rsidSect="00E54B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90BF7D9" w14:textId="77777777"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Таблица 2 – Взаимодействие со смежными системами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1D3DDD" w14:paraId="4A6ACA92" w14:textId="77777777" w:rsidTr="00341F79">
        <w:tc>
          <w:tcPr>
            <w:tcW w:w="5098" w:type="dxa"/>
          </w:tcPr>
          <w:p w14:paraId="7B300AD5" w14:textId="77777777" w:rsidR="001D3DDD" w:rsidRDefault="001D3DDD" w:rsidP="00341F7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7D1C86C2" w14:textId="77777777" w:rsidR="001D3DDD" w:rsidRDefault="001D3DDD" w:rsidP="00341F7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1D3DDD" w14:paraId="49D4B3CE" w14:textId="77777777" w:rsidTr="00341F79">
        <w:tc>
          <w:tcPr>
            <w:tcW w:w="5098" w:type="dxa"/>
          </w:tcPr>
          <w:p w14:paraId="7DEA13E2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1809C4EF" w14:textId="77777777" w:rsidR="001D3DDD" w:rsidRPr="00C66917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1D3DDD" w14:paraId="34E530F1" w14:textId="77777777" w:rsidTr="00341F79">
        <w:tc>
          <w:tcPr>
            <w:tcW w:w="5098" w:type="dxa"/>
          </w:tcPr>
          <w:p w14:paraId="0002BB69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3DC48E5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commentRangeStart w:id="1"/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  <w:commentRangeEnd w:id="1"/>
            <w:r w:rsidR="001F1902">
              <w:rPr>
                <w:rStyle w:val="CommentReference"/>
              </w:rPr>
              <w:commentReference w:id="1"/>
            </w:r>
          </w:p>
        </w:tc>
      </w:tr>
      <w:tr w:rsidR="001D3DDD" w14:paraId="02035095" w14:textId="77777777" w:rsidTr="00341F79">
        <w:tc>
          <w:tcPr>
            <w:tcW w:w="5098" w:type="dxa"/>
          </w:tcPr>
          <w:p w14:paraId="57935441" w14:textId="77777777" w:rsidR="001D3DDD" w:rsidRPr="007D3E13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4A142604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MS SQL Server</w:t>
            </w:r>
          </w:p>
        </w:tc>
      </w:tr>
      <w:tr w:rsidR="001D3DDD" w14:paraId="60E11A6E" w14:textId="77777777" w:rsidTr="00341F79">
        <w:tc>
          <w:tcPr>
            <w:tcW w:w="5098" w:type="dxa"/>
          </w:tcPr>
          <w:p w14:paraId="54371189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5FA89175" w14:textId="77777777" w:rsidR="001D3DDD" w:rsidRPr="00EB24F9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1D3DDD" w14:paraId="3C35A654" w14:textId="77777777" w:rsidTr="00341F79">
        <w:tc>
          <w:tcPr>
            <w:tcW w:w="5098" w:type="dxa"/>
          </w:tcPr>
          <w:p w14:paraId="36BFE180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7A3AC8C8" w14:textId="77777777" w:rsidR="001D3DDD" w:rsidRPr="00B740D4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1D3DDD" w14:paraId="3EFC1ED9" w14:textId="77777777" w:rsidTr="00341F79">
        <w:tc>
          <w:tcPr>
            <w:tcW w:w="5098" w:type="dxa"/>
          </w:tcPr>
          <w:p w14:paraId="713AC026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75EA77A0" w14:textId="77777777" w:rsidR="001D3DDD" w:rsidRDefault="001D3DDD" w:rsidP="00341F7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  <w:commentRangeEnd w:id="2"/>
            <w:r w:rsidR="001F1902">
              <w:rPr>
                <w:rStyle w:val="CommentReference"/>
              </w:rPr>
              <w:commentReference w:id="2"/>
            </w:r>
          </w:p>
        </w:tc>
      </w:tr>
    </w:tbl>
    <w:p w14:paraId="6938500F" w14:textId="77777777" w:rsidR="00E54B1F" w:rsidRDefault="00E54B1F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0643880" w14:textId="77777777" w:rsidR="001D3DDD" w:rsidRPr="00BF59A4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 3</w:t>
      </w:r>
      <w:r w:rsidRPr="00BF59A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 w:rsidRPr="00BF59A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</w:t>
      </w:r>
      <w:r w:rsidRPr="00BF59A4">
        <w:rPr>
          <w:rFonts w:ascii="Times New Roman" w:hAnsi="Times New Roman" w:cs="Times New Roman"/>
          <w:color w:val="000000" w:themeColor="text1"/>
          <w:sz w:val="28"/>
        </w:rPr>
        <w:t>ведения об обеспечении потребительских характеристик системы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1D3DDD" w14:paraId="25E57335" w14:textId="77777777" w:rsidTr="001D3DDD">
        <w:tc>
          <w:tcPr>
            <w:tcW w:w="3757" w:type="dxa"/>
          </w:tcPr>
          <w:p w14:paraId="0FD8534E" w14:textId="77777777" w:rsidR="001D3DDD" w:rsidRPr="007566E0" w:rsidRDefault="001D3DDD" w:rsidP="00341F79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790091C7" w14:textId="77777777" w:rsidR="001D3DDD" w:rsidRPr="007566E0" w:rsidRDefault="001D3DDD" w:rsidP="00341F79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1D3DDD" w14:paraId="6573EFF1" w14:textId="77777777" w:rsidTr="001D3DDD">
        <w:tc>
          <w:tcPr>
            <w:tcW w:w="3757" w:type="dxa"/>
          </w:tcPr>
          <w:p w14:paraId="6E819217" w14:textId="77777777" w:rsidR="001D3DDD" w:rsidRPr="007566E0" w:rsidRDefault="001D3DDD" w:rsidP="00341F79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7BCE7463" w14:textId="77777777"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3A53F9DE" w14:textId="42FE71ED"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1F1902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42A595E3" w14:textId="77777777" w:rsidR="001D3DDD" w:rsidRPr="007566E0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1D3DDD" w14:paraId="31B3A8BC" w14:textId="77777777" w:rsidTr="001D3DDD">
        <w:tc>
          <w:tcPr>
            <w:tcW w:w="3757" w:type="dxa"/>
          </w:tcPr>
          <w:p w14:paraId="2BC8DF85" w14:textId="77777777" w:rsidR="001D3DDD" w:rsidRPr="007566E0" w:rsidRDefault="001D3DDD" w:rsidP="00341F79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5433CB87" w14:textId="77777777"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 xml:space="preserve">При выдаче УВ после действия АПНУ используется информация,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рассчитанная на этапе определения сечения ДС;</w:t>
            </w:r>
          </w:p>
          <w:p w14:paraId="6213EE8E" w14:textId="77777777" w:rsidR="001D3DDD" w:rsidRPr="007566E0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1D3DDD" w14:paraId="4D221FEC" w14:textId="77777777" w:rsidTr="001D3DDD">
        <w:tc>
          <w:tcPr>
            <w:tcW w:w="3757" w:type="dxa"/>
          </w:tcPr>
          <w:p w14:paraId="545D0465" w14:textId="77777777" w:rsidR="001D3DDD" w:rsidRPr="007566E0" w:rsidRDefault="001D3DDD" w:rsidP="00341F79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0F7E7734" w14:textId="4CEB53E7" w:rsidR="001D3DDD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  <w:r w:rsidR="001F1902">
              <w:rPr>
                <w:rFonts w:ascii="Times New Roman" w:hAnsi="Times New Roman" w:cs="Times New Roman"/>
                <w:color w:val="000000" w:themeColor="text1"/>
                <w:sz w:val="28"/>
              </w:rPr>
              <w:t>ДО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01AFB792" w14:textId="6067A529" w:rsidR="001D3DDD" w:rsidRPr="00472610" w:rsidRDefault="001D3DDD" w:rsidP="00341F79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</w:t>
            </w:r>
            <w:r w:rsidR="001F1902">
              <w:rPr>
                <w:rFonts w:ascii="Times New Roman" w:hAnsi="Times New Roman" w:cs="Times New Roman"/>
                <w:color w:val="000000" w:themeColor="text1"/>
                <w:sz w:val="28"/>
              </w:rPr>
              <w:t>ДО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</w:tc>
      </w:tr>
    </w:tbl>
    <w:p w14:paraId="312F904E" w14:textId="77777777" w:rsidR="001D3DDD" w:rsidRDefault="001D3DDD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8BFDC94" w14:textId="77777777" w:rsidR="001D3DDD" w:rsidRPr="001D3DDD" w:rsidRDefault="001D3DDD" w:rsidP="001D3DDD">
      <w:pPr>
        <w:spacing w:after="0" w:line="360" w:lineRule="auto"/>
        <w:ind w:left="774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1D3DDD">
        <w:rPr>
          <w:rFonts w:ascii="Times New Roman" w:hAnsi="Times New Roman" w:cs="Times New Roman"/>
          <w:b/>
          <w:color w:val="000000" w:themeColor="text1"/>
          <w:sz w:val="28"/>
        </w:rPr>
        <w:t>Состав функций, комплексов задач, реализуемых системой</w:t>
      </w:r>
      <w:r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14:paraId="437DBDE2" w14:textId="77777777" w:rsidR="001D3DDD" w:rsidRPr="00677BE5" w:rsidRDefault="001D3DDD" w:rsidP="001D3DDD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49EA4FB5" w14:textId="77777777" w:rsidR="001D3DDD" w:rsidRDefault="001D3DDD" w:rsidP="001D3DDD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3D00ACF8" w14:textId="77777777" w:rsidR="001D3DDD" w:rsidRDefault="001D3DDD" w:rsidP="001D3DDD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DF8743E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F9059AC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7FCCEB94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37693A2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270AAC42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5F7F23EF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2B927E5D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2E0676E6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установившегося режима (УР).</w:t>
      </w:r>
    </w:p>
    <w:p w14:paraId="490C2979" w14:textId="77777777" w:rsidR="001D3DDD" w:rsidRDefault="001D3DDD" w:rsidP="001D3DDD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commentRangeStart w:id="3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Сохранение файла УР.</w:t>
      </w:r>
      <w:commentRangeEnd w:id="3"/>
      <w:r w:rsidR="001F1902">
        <w:rPr>
          <w:rStyle w:val="CommentReference"/>
        </w:rPr>
        <w:commentReference w:id="3"/>
      </w:r>
    </w:p>
    <w:p w14:paraId="729FF194" w14:textId="77777777" w:rsidR="001D3DDD" w:rsidRPr="00677BE5" w:rsidRDefault="001D3DDD" w:rsidP="001D3DDD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7D03A6CF" w14:textId="77777777"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02350B5" w14:textId="77777777" w:rsidR="001D3DDD" w:rsidRDefault="001D3DDD" w:rsidP="001D3DD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35DBECD2" w14:textId="77777777" w:rsidR="001D3DDD" w:rsidRDefault="001D3DDD" w:rsidP="001D3DD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процесса.</w:t>
      </w:r>
    </w:p>
    <w:p w14:paraId="51190F8D" w14:textId="77777777" w:rsidR="001D3DDD" w:rsidRDefault="001D3DDD" w:rsidP="001D3DD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49767734" w14:textId="77777777" w:rsidR="001D3DDD" w:rsidRPr="00114D15" w:rsidRDefault="001D3DDD" w:rsidP="001D3DD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commentRangeStart w:id="4"/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  <w:commentRangeEnd w:id="4"/>
      <w:r w:rsidR="0088589F">
        <w:rPr>
          <w:rStyle w:val="CommentReference"/>
        </w:rPr>
        <w:commentReference w:id="4"/>
      </w:r>
    </w:p>
    <w:p w14:paraId="60C7DDB4" w14:textId="77777777" w:rsidR="001D3DDD" w:rsidRPr="00677BE5" w:rsidRDefault="001D3DDD" w:rsidP="001D3DDD">
      <w:pPr>
        <w:pStyle w:val="ListParagraph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«Определения потенциальных сечений ДС».</w:t>
      </w:r>
    </w:p>
    <w:p w14:paraId="6E913E18" w14:textId="77777777"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5081AA6" w14:textId="77777777" w:rsidR="001D3DDD" w:rsidRDefault="001D3DDD" w:rsidP="001D3DD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Отключение электросетевого оборудования для получения сечений ДС.</w:t>
      </w:r>
    </w:p>
    <w:p w14:paraId="32F33CEE" w14:textId="77777777" w:rsidR="001D3DDD" w:rsidRPr="007266CC" w:rsidRDefault="001D3DDD" w:rsidP="001D3DD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факта разделения групп когерентных генераторов.</w:t>
      </w:r>
    </w:p>
    <w:p w14:paraId="38753C25" w14:textId="77777777" w:rsidR="001D3DDD" w:rsidRPr="00485D31" w:rsidRDefault="001D3DDD" w:rsidP="001D3DDD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04912E70" w14:textId="77777777"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0AF2DBE" w14:textId="77777777" w:rsidR="001D3DDD" w:rsidRDefault="001D3DDD" w:rsidP="001D3D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6B7AAE8F" w14:textId="77777777" w:rsidR="001D3DDD" w:rsidRPr="00885E83" w:rsidRDefault="001D3DDD" w:rsidP="001D3D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Сравнение данных о текущем режиме с данными, содержащимися в БД, и получение соответствующих данных из БД.</w:t>
      </w:r>
    </w:p>
    <w:p w14:paraId="5C878A4D" w14:textId="77777777" w:rsidR="001D3DDD" w:rsidRPr="00885E83" w:rsidRDefault="001D3DDD" w:rsidP="001D3DDD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56D18A9B" w14:textId="77777777"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FBF45F5" w14:textId="77777777" w:rsidR="001D3DDD" w:rsidRDefault="001D3DDD" w:rsidP="001D3DD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27EBA631" w14:textId="77777777" w:rsidR="001D3DDD" w:rsidRDefault="001D3DDD" w:rsidP="001D3DD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165365A4" w14:textId="77777777" w:rsidR="001D3DDD" w:rsidRPr="00885E83" w:rsidRDefault="001D3DDD" w:rsidP="001D3DD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кластеризации и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186F1521" w14:textId="77777777" w:rsidR="001D3DDD" w:rsidRDefault="001D3DDD" w:rsidP="001D3DDD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788A5094" w14:textId="77777777"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6D422371" w14:textId="77777777" w:rsidR="001D3DDD" w:rsidRDefault="001D3DDD" w:rsidP="001D3DD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Запрос у подсистемы «Обработки ТИ из ОИК» информации по режиму, соответствующему текущему.</w:t>
      </w:r>
    </w:p>
    <w:p w14:paraId="1D5692A0" w14:textId="77777777" w:rsidR="001D3DDD" w:rsidRDefault="001D3DDD" w:rsidP="001D3DD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D43BF3F" w14:textId="77777777" w:rsidR="001D3DDD" w:rsidRDefault="001D3DDD" w:rsidP="001D3DD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4B0C936D" w14:textId="77777777" w:rsidR="001D3DDD" w:rsidRPr="00B267A4" w:rsidRDefault="001D3DDD" w:rsidP="001D3DD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3C8097A3" w14:textId="77777777" w:rsidR="001D3DDD" w:rsidRPr="00EC1798" w:rsidRDefault="001D3DDD" w:rsidP="001D3DDD">
      <w:pPr>
        <w:pStyle w:val="ListParagraph"/>
        <w:numPr>
          <w:ilvl w:val="0"/>
          <w:numId w:val="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2C46164B" w14:textId="77777777" w:rsidR="001D3DDD" w:rsidRDefault="001D3DDD" w:rsidP="001D3DD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7D1F911" w14:textId="77777777" w:rsidR="001D3DDD" w:rsidRDefault="001D3DDD" w:rsidP="001D3DD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появление возмущения.</w:t>
      </w:r>
    </w:p>
    <w:p w14:paraId="6D4CAF08" w14:textId="77777777" w:rsidR="001D3DDD" w:rsidRPr="00EC1798" w:rsidRDefault="001D3DDD" w:rsidP="001D3DD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1E3A60A" w14:textId="77777777" w:rsidR="001D3DDD" w:rsidRPr="00E54B1F" w:rsidRDefault="001D3DDD" w:rsidP="00E54B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sectPr w:rsidR="001D3DDD" w:rsidRPr="00E54B1F" w:rsidSect="001D3DD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0-10-14T20:09:00Z" w:initials="A">
    <w:p w14:paraId="24320D9C" w14:textId="7B50E55E" w:rsidR="001F1902" w:rsidRPr="001F1902" w:rsidRDefault="001F1902">
      <w:pPr>
        <w:pStyle w:val="CommentText"/>
      </w:pPr>
      <w:r>
        <w:rPr>
          <w:rStyle w:val="CommentReference"/>
        </w:rPr>
        <w:annotationRef/>
      </w:r>
      <w:r>
        <w:t>Что это?</w:t>
      </w:r>
    </w:p>
  </w:comment>
  <w:comment w:id="1" w:author="AAK" w:date="2020-10-14T20:10:00Z" w:initials="A">
    <w:p w14:paraId="7F34C33E" w14:textId="176E3BC8" w:rsidR="001F1902" w:rsidRDefault="001F1902">
      <w:pPr>
        <w:pStyle w:val="CommentText"/>
      </w:pPr>
      <w:r>
        <w:rPr>
          <w:rStyle w:val="CommentReference"/>
        </w:rPr>
        <w:annotationRef/>
      </w:r>
      <w:r>
        <w:t>Что это?</w:t>
      </w:r>
    </w:p>
  </w:comment>
  <w:comment w:id="2" w:author="AAK" w:date="2020-10-14T20:11:00Z" w:initials="A">
    <w:p w14:paraId="7AF83727" w14:textId="02727E16" w:rsidR="001F1902" w:rsidRDefault="001F1902">
      <w:pPr>
        <w:pStyle w:val="CommentText"/>
      </w:pPr>
      <w:r>
        <w:rPr>
          <w:rStyle w:val="CommentReference"/>
        </w:rPr>
        <w:annotationRef/>
      </w:r>
      <w:r>
        <w:t>Что это?</w:t>
      </w:r>
    </w:p>
  </w:comment>
  <w:comment w:id="3" w:author="AAK" w:date="2020-10-14T20:12:00Z" w:initials="A">
    <w:p w14:paraId="03380325" w14:textId="5A91A06A" w:rsidR="001F1902" w:rsidRDefault="001F1902">
      <w:pPr>
        <w:pStyle w:val="CommentText"/>
      </w:pPr>
      <w:r>
        <w:rPr>
          <w:rStyle w:val="CommentReference"/>
        </w:rPr>
        <w:annotationRef/>
      </w:r>
      <w:r>
        <w:t>Формат стандартизованный или свой?</w:t>
      </w:r>
    </w:p>
  </w:comment>
  <w:comment w:id="4" w:author="AAK" w:date="2020-10-14T20:12:00Z" w:initials="A">
    <w:p w14:paraId="043EAD4A" w14:textId="2E397C45" w:rsidR="0088589F" w:rsidRDefault="0088589F">
      <w:pPr>
        <w:pStyle w:val="CommentText"/>
      </w:pPr>
      <w:r>
        <w:rPr>
          <w:rStyle w:val="CommentReference"/>
        </w:rPr>
        <w:annotationRef/>
      </w:r>
      <w:r>
        <w:t>Формат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320D9C" w15:done="0"/>
  <w15:commentEx w15:paraId="7F34C33E" w15:done="0"/>
  <w15:commentEx w15:paraId="7AF83727" w15:done="0"/>
  <w15:commentEx w15:paraId="03380325" w15:done="0"/>
  <w15:commentEx w15:paraId="043EA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1D987" w16cex:dateUtc="2020-10-14T13:09:00Z"/>
  <w16cex:commentExtensible w16cex:durableId="2331D9D1" w16cex:dateUtc="2020-10-14T13:10:00Z"/>
  <w16cex:commentExtensible w16cex:durableId="2331D9DD" w16cex:dateUtc="2020-10-14T13:11:00Z"/>
  <w16cex:commentExtensible w16cex:durableId="2331DA28" w16cex:dateUtc="2020-10-14T13:12:00Z"/>
  <w16cex:commentExtensible w16cex:durableId="2331DA41" w16cex:dateUtc="2020-10-14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320D9C" w16cid:durableId="2331D987"/>
  <w16cid:commentId w16cid:paraId="7F34C33E" w16cid:durableId="2331D9D1"/>
  <w16cid:commentId w16cid:paraId="7AF83727" w16cid:durableId="2331D9DD"/>
  <w16cid:commentId w16cid:paraId="03380325" w16cid:durableId="2331DA28"/>
  <w16cid:commentId w16cid:paraId="043EAD4A" w16cid:durableId="2331DA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6FD3" w14:textId="77777777" w:rsidR="00532076" w:rsidRDefault="00532076" w:rsidP="00E02754">
      <w:pPr>
        <w:spacing w:after="0" w:line="240" w:lineRule="auto"/>
      </w:pPr>
      <w:r>
        <w:separator/>
      </w:r>
    </w:p>
  </w:endnote>
  <w:endnote w:type="continuationSeparator" w:id="0">
    <w:p w14:paraId="233B8418" w14:textId="77777777" w:rsidR="00532076" w:rsidRDefault="00532076" w:rsidP="00E0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5388440"/>
      <w:docPartObj>
        <w:docPartGallery w:val="Page Numbers (Bottom of Page)"/>
        <w:docPartUnique/>
      </w:docPartObj>
    </w:sdtPr>
    <w:sdtEndPr/>
    <w:sdtContent>
      <w:p w14:paraId="7E72C8AC" w14:textId="77777777" w:rsidR="00E02754" w:rsidRDefault="00E027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14897B34" w14:textId="77777777" w:rsidR="00E02754" w:rsidRDefault="00E027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8412E" w14:textId="77777777" w:rsidR="00532076" w:rsidRDefault="00532076" w:rsidP="00E02754">
      <w:pPr>
        <w:spacing w:after="0" w:line="240" w:lineRule="auto"/>
      </w:pPr>
      <w:r>
        <w:separator/>
      </w:r>
    </w:p>
  </w:footnote>
  <w:footnote w:type="continuationSeparator" w:id="0">
    <w:p w14:paraId="7C9654C6" w14:textId="77777777" w:rsidR="00532076" w:rsidRDefault="00532076" w:rsidP="00E02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1148D3"/>
    <w:multiLevelType w:val="hybridMultilevel"/>
    <w:tmpl w:val="30161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304A8"/>
    <w:multiLevelType w:val="hybridMultilevel"/>
    <w:tmpl w:val="A69C1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070369"/>
    <w:multiLevelType w:val="hybridMultilevel"/>
    <w:tmpl w:val="1262ADFC"/>
    <w:lvl w:ilvl="0" w:tplc="2A30E91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8149A9"/>
    <w:multiLevelType w:val="hybridMultilevel"/>
    <w:tmpl w:val="E41ED6E6"/>
    <w:lvl w:ilvl="0" w:tplc="6700C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949A7"/>
    <w:multiLevelType w:val="hybridMultilevel"/>
    <w:tmpl w:val="3CE81E4A"/>
    <w:lvl w:ilvl="0" w:tplc="7FD463B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0"/>
  </w:num>
  <w:num w:numId="5">
    <w:abstractNumId w:val="17"/>
  </w:num>
  <w:num w:numId="6">
    <w:abstractNumId w:val="4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6"/>
  </w:num>
  <w:num w:numId="12">
    <w:abstractNumId w:val="1"/>
  </w:num>
  <w:num w:numId="13">
    <w:abstractNumId w:val="12"/>
  </w:num>
  <w:num w:numId="14">
    <w:abstractNumId w:val="3"/>
  </w:num>
  <w:num w:numId="15">
    <w:abstractNumId w:val="8"/>
  </w:num>
  <w:num w:numId="16">
    <w:abstractNumId w:val="14"/>
  </w:num>
  <w:num w:numId="17">
    <w:abstractNumId w:val="7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FA"/>
    <w:rsid w:val="001D3DDD"/>
    <w:rsid w:val="001F1902"/>
    <w:rsid w:val="00532076"/>
    <w:rsid w:val="00680777"/>
    <w:rsid w:val="006A3A58"/>
    <w:rsid w:val="0088589F"/>
    <w:rsid w:val="009A3438"/>
    <w:rsid w:val="00C42FFA"/>
    <w:rsid w:val="00D110A2"/>
    <w:rsid w:val="00E02754"/>
    <w:rsid w:val="00E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5B28"/>
  <w15:chartTrackingRefBased/>
  <w15:docId w15:val="{0D70C6DF-6799-47A1-98B3-A668F9A2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DDD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1F"/>
    <w:pPr>
      <w:ind w:left="720"/>
      <w:contextualSpacing/>
    </w:pPr>
  </w:style>
  <w:style w:type="table" w:styleId="TableGrid">
    <w:name w:val="Table Grid"/>
    <w:basedOn w:val="TableNormal"/>
    <w:uiPriority w:val="39"/>
    <w:rsid w:val="00E5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DD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3DD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54"/>
  </w:style>
  <w:style w:type="paragraph" w:styleId="Footer">
    <w:name w:val="footer"/>
    <w:basedOn w:val="Normal"/>
    <w:link w:val="FooterChar"/>
    <w:uiPriority w:val="99"/>
    <w:unhideWhenUsed/>
    <w:rsid w:val="00E02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9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1131</Words>
  <Characters>6449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AAK</cp:lastModifiedBy>
  <cp:revision>3</cp:revision>
  <dcterms:created xsi:type="dcterms:W3CDTF">2020-10-08T04:32:00Z</dcterms:created>
  <dcterms:modified xsi:type="dcterms:W3CDTF">2020-10-14T13:13:00Z</dcterms:modified>
</cp:coreProperties>
</file>