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8A13" w14:textId="77777777" w:rsidR="00D447D6" w:rsidRDefault="00D447D6">
      <w:pPr>
        <w:spacing w:before="2400"/>
      </w:pPr>
    </w:p>
    <w:p w14:paraId="17FAF38A" w14:textId="77777777" w:rsidR="00D447D6" w:rsidRDefault="00000000">
      <w:pPr>
        <w:spacing w:after="120"/>
        <w:jc w:val="center"/>
      </w:pPr>
      <w:r>
        <w:rPr>
          <w:b/>
          <w:bCs/>
          <w:color w:val="1F4E79"/>
          <w:sz w:val="32"/>
          <w:szCs w:val="32"/>
        </w:rPr>
        <w:t>PROJET AIS</w:t>
      </w:r>
    </w:p>
    <w:p w14:paraId="115DB9B2" w14:textId="31D16BF9" w:rsidR="00D447D6" w:rsidRDefault="00000000">
      <w:pPr>
        <w:spacing w:after="200"/>
        <w:jc w:val="center"/>
      </w:pPr>
      <w:r>
        <w:rPr>
          <w:b/>
          <w:bCs/>
          <w:sz w:val="44"/>
          <w:szCs w:val="44"/>
        </w:rPr>
        <w:t>Document HLD</w:t>
      </w:r>
    </w:p>
    <w:p w14:paraId="53A99CDB" w14:textId="77777777" w:rsidR="00D447D6" w:rsidRDefault="00000000">
      <w:pPr>
        <w:spacing w:after="120"/>
        <w:jc w:val="center"/>
      </w:pPr>
      <w:r>
        <w:rPr>
          <w:color w:val="595959"/>
          <w:sz w:val="24"/>
          <w:szCs w:val="24"/>
        </w:rPr>
        <w:t>Diagrammes de séquence, périmètres de sécurité, matrice de flux et diagramme réseau</w:t>
      </w:r>
    </w:p>
    <w:p w14:paraId="2CF36A6E" w14:textId="5DB65E7E" w:rsidR="00D447D6" w:rsidRDefault="00000000">
      <w:pPr>
        <w:spacing w:after="1600"/>
        <w:jc w:val="center"/>
      </w:pPr>
      <w:r>
        <w:rPr>
          <w:i/>
          <w:iCs/>
          <w:color w:val="595959"/>
        </w:rPr>
        <w:t>Infrastructure applicative sécurisée — 5 août 2026</w:t>
      </w:r>
    </w:p>
    <w:tbl>
      <w:tblPr>
        <w:tblW w:w="3000" w:type="pct"/>
        <w:jc w:val="center"/>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2676"/>
        <w:gridCol w:w="3148"/>
      </w:tblGrid>
      <w:tr w:rsidR="00D447D6" w14:paraId="69FF3418" w14:textId="77777777" w:rsidTr="00EA6BF5">
        <w:trPr>
          <w:jc w:val="center"/>
        </w:trPr>
        <w:tc>
          <w:tcPr>
            <w:tcW w:w="2676" w:type="dxa"/>
            <w:tcMar>
              <w:top w:w="80" w:type="dxa"/>
              <w:left w:w="100" w:type="dxa"/>
              <w:bottom w:w="80" w:type="dxa"/>
              <w:right w:w="100" w:type="dxa"/>
            </w:tcMar>
            <w:vAlign w:val="center"/>
          </w:tcPr>
          <w:p w14:paraId="1146D4E2" w14:textId="77777777" w:rsidR="00D447D6" w:rsidRDefault="00000000">
            <w:r>
              <w:rPr>
                <w:b/>
                <w:bCs/>
                <w:sz w:val="19"/>
                <w:szCs w:val="19"/>
              </w:rPr>
              <w:t>Classification</w:t>
            </w:r>
          </w:p>
        </w:tc>
        <w:tc>
          <w:tcPr>
            <w:tcW w:w="3148" w:type="dxa"/>
            <w:tcMar>
              <w:top w:w="80" w:type="dxa"/>
              <w:left w:w="100" w:type="dxa"/>
              <w:bottom w:w="80" w:type="dxa"/>
              <w:right w:w="100" w:type="dxa"/>
            </w:tcMar>
            <w:vAlign w:val="center"/>
          </w:tcPr>
          <w:p w14:paraId="65618A30" w14:textId="77777777" w:rsidR="00D447D6" w:rsidRDefault="00000000">
            <w:r>
              <w:rPr>
                <w:sz w:val="19"/>
                <w:szCs w:val="19"/>
              </w:rPr>
              <w:t>Confidentiel — Usage interne</w:t>
            </w:r>
          </w:p>
        </w:tc>
      </w:tr>
      <w:tr w:rsidR="00D447D6" w14:paraId="152E1871" w14:textId="77777777">
        <w:trPr>
          <w:jc w:val="center"/>
        </w:trPr>
        <w:tc>
          <w:tcPr>
            <w:tcW w:w="0" w:type="auto"/>
            <w:tcMar>
              <w:top w:w="80" w:type="dxa"/>
              <w:left w:w="100" w:type="dxa"/>
              <w:bottom w:w="80" w:type="dxa"/>
              <w:right w:w="100" w:type="dxa"/>
            </w:tcMar>
            <w:vAlign w:val="center"/>
          </w:tcPr>
          <w:p w14:paraId="7E7E62B1" w14:textId="77777777" w:rsidR="00D447D6" w:rsidRDefault="00000000">
            <w:r>
              <w:rPr>
                <w:b/>
                <w:bCs/>
                <w:sz w:val="19"/>
                <w:szCs w:val="19"/>
              </w:rPr>
              <w:t>Version</w:t>
            </w:r>
          </w:p>
        </w:tc>
        <w:tc>
          <w:tcPr>
            <w:tcW w:w="0" w:type="auto"/>
            <w:tcMar>
              <w:top w:w="80" w:type="dxa"/>
              <w:left w:w="100" w:type="dxa"/>
              <w:bottom w:w="80" w:type="dxa"/>
              <w:right w:w="100" w:type="dxa"/>
            </w:tcMar>
            <w:vAlign w:val="center"/>
          </w:tcPr>
          <w:p w14:paraId="519D28AB" w14:textId="783D97DA" w:rsidR="00D447D6" w:rsidRPr="00892E92" w:rsidRDefault="00DA14FD">
            <w:r>
              <w:rPr>
                <w:sz w:val="19"/>
                <w:szCs w:val="19"/>
              </w:rPr>
              <w:t>260805</w:t>
            </w:r>
          </w:p>
        </w:tc>
      </w:tr>
      <w:tr w:rsidR="00D447D6" w14:paraId="680847C1" w14:textId="77777777">
        <w:trPr>
          <w:jc w:val="center"/>
        </w:trPr>
        <w:tc>
          <w:tcPr>
            <w:tcW w:w="0" w:type="auto"/>
            <w:tcMar>
              <w:top w:w="80" w:type="dxa"/>
              <w:left w:w="100" w:type="dxa"/>
              <w:bottom w:w="80" w:type="dxa"/>
              <w:right w:w="100" w:type="dxa"/>
            </w:tcMar>
            <w:vAlign w:val="center"/>
          </w:tcPr>
          <w:p w14:paraId="7BEA453B" w14:textId="77777777" w:rsidR="00D447D6" w:rsidRDefault="00000000">
            <w:r>
              <w:rPr>
                <w:b/>
                <w:bCs/>
                <w:sz w:val="19"/>
                <w:szCs w:val="19"/>
              </w:rPr>
              <w:t>Statut</w:t>
            </w:r>
          </w:p>
        </w:tc>
        <w:tc>
          <w:tcPr>
            <w:tcW w:w="0" w:type="auto"/>
            <w:tcMar>
              <w:top w:w="80" w:type="dxa"/>
              <w:left w:w="100" w:type="dxa"/>
              <w:bottom w:w="80" w:type="dxa"/>
              <w:right w:w="100" w:type="dxa"/>
            </w:tcMar>
            <w:vAlign w:val="center"/>
          </w:tcPr>
          <w:p w14:paraId="656ED5AD" w14:textId="1B82BF90" w:rsidR="00D447D6" w:rsidRDefault="004263FC">
            <w:r>
              <w:t>A valider</w:t>
            </w:r>
          </w:p>
        </w:tc>
      </w:tr>
    </w:tbl>
    <w:p w14:paraId="20B5A543" w14:textId="7124E939" w:rsidR="00D447D6" w:rsidRDefault="00D447D6"/>
    <w:p w14:paraId="05B83D54" w14:textId="77777777" w:rsidR="00A62E79" w:rsidRDefault="00A62E79"/>
    <w:p w14:paraId="3B565B86" w14:textId="77777777" w:rsidR="00A62E79" w:rsidRDefault="00A62E79"/>
    <w:tbl>
      <w:tblPr>
        <w:tblW w:w="4622" w:type="pct"/>
        <w:jc w:val="center"/>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2676"/>
        <w:gridCol w:w="3148"/>
        <w:gridCol w:w="3148"/>
      </w:tblGrid>
      <w:tr w:rsidR="00A62E79" w14:paraId="24B7143A" w14:textId="3B135374" w:rsidTr="00A62E79">
        <w:trPr>
          <w:jc w:val="center"/>
        </w:trPr>
        <w:tc>
          <w:tcPr>
            <w:tcW w:w="2676" w:type="dxa"/>
            <w:tcMar>
              <w:top w:w="80" w:type="dxa"/>
              <w:left w:w="100" w:type="dxa"/>
              <w:bottom w:w="80" w:type="dxa"/>
              <w:right w:w="100" w:type="dxa"/>
            </w:tcMar>
            <w:vAlign w:val="center"/>
          </w:tcPr>
          <w:p w14:paraId="01C4CC14" w14:textId="5580078E" w:rsidR="00A62E79" w:rsidRDefault="00A62E79" w:rsidP="00C31D4C"/>
        </w:tc>
        <w:tc>
          <w:tcPr>
            <w:tcW w:w="3148" w:type="dxa"/>
            <w:tcMar>
              <w:top w:w="80" w:type="dxa"/>
              <w:left w:w="100" w:type="dxa"/>
              <w:bottom w:w="80" w:type="dxa"/>
              <w:right w:w="100" w:type="dxa"/>
            </w:tcMar>
            <w:vAlign w:val="center"/>
          </w:tcPr>
          <w:p w14:paraId="75D5C36D" w14:textId="66738E68" w:rsidR="00A62E79" w:rsidRPr="009A3367" w:rsidRDefault="00A62E79" w:rsidP="00C31D4C">
            <w:pPr>
              <w:rPr>
                <w:b/>
                <w:bCs/>
              </w:rPr>
            </w:pPr>
            <w:r>
              <w:rPr>
                <w:b/>
                <w:bCs/>
                <w:sz w:val="19"/>
                <w:szCs w:val="19"/>
              </w:rPr>
              <w:t>Nom</w:t>
            </w:r>
          </w:p>
        </w:tc>
        <w:tc>
          <w:tcPr>
            <w:tcW w:w="3148" w:type="dxa"/>
          </w:tcPr>
          <w:p w14:paraId="6F75666C" w14:textId="5043D645" w:rsidR="00A62E79" w:rsidRPr="009A3367" w:rsidRDefault="00A62E79" w:rsidP="00C31D4C">
            <w:pPr>
              <w:rPr>
                <w:b/>
                <w:bCs/>
                <w:sz w:val="19"/>
                <w:szCs w:val="19"/>
              </w:rPr>
            </w:pPr>
            <w:r>
              <w:rPr>
                <w:b/>
                <w:bCs/>
                <w:sz w:val="19"/>
                <w:szCs w:val="19"/>
              </w:rPr>
              <w:t>Date</w:t>
            </w:r>
          </w:p>
        </w:tc>
      </w:tr>
      <w:tr w:rsidR="00A62E79" w14:paraId="3BF59517" w14:textId="656DD375" w:rsidTr="00A62E79">
        <w:trPr>
          <w:jc w:val="center"/>
        </w:trPr>
        <w:tc>
          <w:tcPr>
            <w:tcW w:w="0" w:type="auto"/>
            <w:tcMar>
              <w:top w:w="80" w:type="dxa"/>
              <w:left w:w="100" w:type="dxa"/>
              <w:bottom w:w="80" w:type="dxa"/>
              <w:right w:w="100" w:type="dxa"/>
            </w:tcMar>
            <w:vAlign w:val="center"/>
          </w:tcPr>
          <w:p w14:paraId="3D704539" w14:textId="7869274C" w:rsidR="00A62E79" w:rsidRDefault="00A62E79" w:rsidP="00C31D4C">
            <w:pPr>
              <w:rPr>
                <w:b/>
                <w:bCs/>
                <w:sz w:val="19"/>
                <w:szCs w:val="19"/>
              </w:rPr>
            </w:pPr>
            <w:r>
              <w:rPr>
                <w:b/>
                <w:bCs/>
                <w:sz w:val="19"/>
                <w:szCs w:val="19"/>
              </w:rPr>
              <w:t>Rédaction</w:t>
            </w:r>
          </w:p>
        </w:tc>
        <w:tc>
          <w:tcPr>
            <w:tcW w:w="0" w:type="auto"/>
            <w:tcMar>
              <w:top w:w="80" w:type="dxa"/>
              <w:left w:w="100" w:type="dxa"/>
              <w:bottom w:w="80" w:type="dxa"/>
              <w:right w:w="100" w:type="dxa"/>
            </w:tcMar>
            <w:vAlign w:val="center"/>
          </w:tcPr>
          <w:p w14:paraId="171C83B6" w14:textId="77777777" w:rsidR="00A62E79" w:rsidRDefault="00A62E79" w:rsidP="00C31D4C">
            <w:pPr>
              <w:rPr>
                <w:sz w:val="19"/>
                <w:szCs w:val="19"/>
              </w:rPr>
            </w:pPr>
            <w:r>
              <w:rPr>
                <w:sz w:val="19"/>
                <w:szCs w:val="19"/>
              </w:rPr>
              <w:t>Thomas Michel</w:t>
            </w:r>
          </w:p>
        </w:tc>
        <w:tc>
          <w:tcPr>
            <w:tcW w:w="0" w:type="auto"/>
          </w:tcPr>
          <w:p w14:paraId="41561721" w14:textId="5619FC64" w:rsidR="00A62E79" w:rsidRDefault="004E3418" w:rsidP="00C31D4C">
            <w:pPr>
              <w:rPr>
                <w:sz w:val="19"/>
                <w:szCs w:val="19"/>
              </w:rPr>
            </w:pPr>
            <w:r>
              <w:rPr>
                <w:sz w:val="19"/>
                <w:szCs w:val="19"/>
              </w:rPr>
              <w:t>05/08/26</w:t>
            </w:r>
          </w:p>
        </w:tc>
      </w:tr>
      <w:tr w:rsidR="00CA31DC" w14:paraId="5C18AD20" w14:textId="77777777" w:rsidTr="00A62E79">
        <w:trPr>
          <w:jc w:val="center"/>
        </w:trPr>
        <w:tc>
          <w:tcPr>
            <w:tcW w:w="0" w:type="auto"/>
            <w:tcMar>
              <w:top w:w="80" w:type="dxa"/>
              <w:left w:w="100" w:type="dxa"/>
              <w:bottom w:w="80" w:type="dxa"/>
              <w:right w:w="100" w:type="dxa"/>
            </w:tcMar>
            <w:vAlign w:val="center"/>
          </w:tcPr>
          <w:p w14:paraId="4E5F0508" w14:textId="168F4349" w:rsidR="00CA31DC" w:rsidRDefault="00CA31DC" w:rsidP="00C31D4C">
            <w:pPr>
              <w:rPr>
                <w:b/>
                <w:bCs/>
                <w:sz w:val="19"/>
                <w:szCs w:val="19"/>
              </w:rPr>
            </w:pPr>
            <w:r>
              <w:rPr>
                <w:b/>
                <w:bCs/>
                <w:sz w:val="19"/>
                <w:szCs w:val="19"/>
              </w:rPr>
              <w:t>Validation</w:t>
            </w:r>
          </w:p>
        </w:tc>
        <w:tc>
          <w:tcPr>
            <w:tcW w:w="0" w:type="auto"/>
            <w:tcMar>
              <w:top w:w="80" w:type="dxa"/>
              <w:left w:w="100" w:type="dxa"/>
              <w:bottom w:w="80" w:type="dxa"/>
              <w:right w:w="100" w:type="dxa"/>
            </w:tcMar>
            <w:vAlign w:val="center"/>
          </w:tcPr>
          <w:p w14:paraId="2E50E9E3" w14:textId="27FF0B55" w:rsidR="00CA31DC" w:rsidRPr="00CA31DC" w:rsidRDefault="004263FC" w:rsidP="00C31D4C">
            <w:pPr>
              <w:rPr>
                <w:sz w:val="17"/>
                <w:szCs w:val="17"/>
              </w:rPr>
            </w:pPr>
            <w:r>
              <w:rPr>
                <w:sz w:val="19"/>
                <w:szCs w:val="19"/>
              </w:rPr>
              <w:t>Xx</w:t>
            </w:r>
          </w:p>
        </w:tc>
        <w:tc>
          <w:tcPr>
            <w:tcW w:w="0" w:type="auto"/>
          </w:tcPr>
          <w:p w14:paraId="7129651B" w14:textId="05151327" w:rsidR="00CA31DC" w:rsidRDefault="004263FC" w:rsidP="00C31D4C">
            <w:pPr>
              <w:rPr>
                <w:sz w:val="19"/>
                <w:szCs w:val="19"/>
              </w:rPr>
            </w:pPr>
            <w:r>
              <w:rPr>
                <w:sz w:val="19"/>
                <w:szCs w:val="19"/>
              </w:rPr>
              <w:t>Xx</w:t>
            </w:r>
          </w:p>
        </w:tc>
      </w:tr>
    </w:tbl>
    <w:p w14:paraId="1090ADF3" w14:textId="6DD4E2CF" w:rsidR="008E6474" w:rsidRDefault="008E6474" w:rsidP="008E6474">
      <w:pPr>
        <w:rPr>
          <w:b/>
          <w:bCs/>
          <w:color w:val="1F4E79"/>
          <w:sz w:val="32"/>
          <w:szCs w:val="32"/>
        </w:rPr>
      </w:pPr>
    </w:p>
    <w:p w14:paraId="07F7D894" w14:textId="77777777" w:rsidR="00CA31DC" w:rsidRPr="008E6474" w:rsidRDefault="00CA31DC" w:rsidP="008E6474">
      <w:pPr>
        <w:rPr>
          <w:b/>
          <w:bCs/>
          <w:color w:val="1F4E79"/>
          <w:sz w:val="32"/>
          <w:szCs w:val="32"/>
        </w:rPr>
      </w:pPr>
    </w:p>
    <w:tbl>
      <w:tblPr>
        <w:tblW w:w="4636" w:type="pct"/>
        <w:tblInd w:w="360" w:type="dxa"/>
        <w:tblBorders>
          <w:top w:val="single" w:sz="4" w:space="0" w:color="BFBFBF"/>
          <w:bottom w:val="single" w:sz="4" w:space="0" w:color="BFBFBF"/>
          <w:insideH w:val="single" w:sz="2" w:space="0" w:color="D9D9D9"/>
        </w:tblBorders>
        <w:tblCellMar>
          <w:left w:w="10" w:type="dxa"/>
          <w:right w:w="10" w:type="dxa"/>
        </w:tblCellMar>
        <w:tblLook w:val="04A0" w:firstRow="1" w:lastRow="0" w:firstColumn="1" w:lastColumn="0" w:noHBand="0" w:noVBand="1"/>
      </w:tblPr>
      <w:tblGrid>
        <w:gridCol w:w="624"/>
        <w:gridCol w:w="4236"/>
        <w:gridCol w:w="2160"/>
        <w:gridCol w:w="1979"/>
      </w:tblGrid>
      <w:tr w:rsidR="009F6942" w14:paraId="00218A13" w14:textId="04FB45F3" w:rsidTr="00AF613E">
        <w:tc>
          <w:tcPr>
            <w:tcW w:w="624" w:type="dxa"/>
          </w:tcPr>
          <w:p w14:paraId="4CAA28DC" w14:textId="7B5EFF80" w:rsidR="009F6942" w:rsidRDefault="009F6942" w:rsidP="00CA31DC">
            <w:pPr>
              <w:rPr>
                <w:b/>
                <w:bCs/>
                <w:sz w:val="19"/>
                <w:szCs w:val="19"/>
              </w:rPr>
            </w:pPr>
            <w:r>
              <w:rPr>
                <w:b/>
                <w:bCs/>
                <w:sz w:val="19"/>
                <w:szCs w:val="19"/>
              </w:rPr>
              <w:t>Version</w:t>
            </w:r>
          </w:p>
        </w:tc>
        <w:tc>
          <w:tcPr>
            <w:tcW w:w="4236" w:type="dxa"/>
            <w:tcMar>
              <w:top w:w="80" w:type="dxa"/>
              <w:left w:w="100" w:type="dxa"/>
              <w:bottom w:w="80" w:type="dxa"/>
              <w:right w:w="100" w:type="dxa"/>
            </w:tcMar>
            <w:vAlign w:val="center"/>
          </w:tcPr>
          <w:p w14:paraId="2CA86461" w14:textId="45BBB20B" w:rsidR="009F6942" w:rsidRPr="009A3367" w:rsidRDefault="009F6942" w:rsidP="00CA31DC">
            <w:pPr>
              <w:rPr>
                <w:b/>
                <w:bCs/>
              </w:rPr>
            </w:pPr>
            <w:r>
              <w:rPr>
                <w:b/>
                <w:bCs/>
                <w:sz w:val="19"/>
                <w:szCs w:val="19"/>
              </w:rPr>
              <w:t>Changement</w:t>
            </w:r>
          </w:p>
        </w:tc>
        <w:tc>
          <w:tcPr>
            <w:tcW w:w="2160" w:type="dxa"/>
          </w:tcPr>
          <w:p w14:paraId="1A829537" w14:textId="35D04F8F" w:rsidR="009F6942" w:rsidRDefault="009F6942" w:rsidP="00CA31DC">
            <w:pPr>
              <w:rPr>
                <w:b/>
                <w:bCs/>
                <w:sz w:val="19"/>
                <w:szCs w:val="19"/>
              </w:rPr>
            </w:pPr>
            <w:r>
              <w:rPr>
                <w:b/>
                <w:bCs/>
                <w:sz w:val="19"/>
                <w:szCs w:val="19"/>
              </w:rPr>
              <w:t>Rédaction</w:t>
            </w:r>
          </w:p>
        </w:tc>
        <w:tc>
          <w:tcPr>
            <w:tcW w:w="1979" w:type="dxa"/>
          </w:tcPr>
          <w:p w14:paraId="36B7326D" w14:textId="4CEDAEDF" w:rsidR="009F6942" w:rsidRDefault="009F6942" w:rsidP="00CA31DC">
            <w:pPr>
              <w:rPr>
                <w:b/>
                <w:bCs/>
                <w:sz w:val="19"/>
                <w:szCs w:val="19"/>
              </w:rPr>
            </w:pPr>
            <w:r>
              <w:rPr>
                <w:b/>
                <w:bCs/>
                <w:sz w:val="19"/>
                <w:szCs w:val="19"/>
              </w:rPr>
              <w:t>Validation</w:t>
            </w:r>
          </w:p>
        </w:tc>
      </w:tr>
      <w:tr w:rsidR="009F6942" w14:paraId="71146570" w14:textId="2D164D73" w:rsidTr="00AF613E">
        <w:tc>
          <w:tcPr>
            <w:tcW w:w="624" w:type="dxa"/>
          </w:tcPr>
          <w:p w14:paraId="070E3E74" w14:textId="34B0F1A6" w:rsidR="009F6942" w:rsidRDefault="009F6942" w:rsidP="00CA31DC">
            <w:pPr>
              <w:rPr>
                <w:sz w:val="19"/>
                <w:szCs w:val="19"/>
              </w:rPr>
            </w:pPr>
            <w:r>
              <w:rPr>
                <w:sz w:val="19"/>
                <w:szCs w:val="19"/>
              </w:rPr>
              <w:t>260722</w:t>
            </w:r>
          </w:p>
        </w:tc>
        <w:tc>
          <w:tcPr>
            <w:tcW w:w="4236" w:type="dxa"/>
            <w:tcMar>
              <w:top w:w="80" w:type="dxa"/>
              <w:left w:w="100" w:type="dxa"/>
              <w:bottom w:w="80" w:type="dxa"/>
              <w:right w:w="100" w:type="dxa"/>
            </w:tcMar>
            <w:vAlign w:val="center"/>
          </w:tcPr>
          <w:p w14:paraId="487E9519" w14:textId="0F76D5C4" w:rsidR="009F6942" w:rsidRDefault="009F6942" w:rsidP="00CA31DC">
            <w:pPr>
              <w:rPr>
                <w:sz w:val="19"/>
                <w:szCs w:val="19"/>
              </w:rPr>
            </w:pPr>
            <w:r>
              <w:rPr>
                <w:sz w:val="19"/>
                <w:szCs w:val="19"/>
              </w:rPr>
              <w:t>Rédaction initiale</w:t>
            </w:r>
          </w:p>
        </w:tc>
        <w:tc>
          <w:tcPr>
            <w:tcW w:w="2160" w:type="dxa"/>
          </w:tcPr>
          <w:p w14:paraId="7152A0D0" w14:textId="094F3C62" w:rsidR="009F6942" w:rsidRDefault="009F6942" w:rsidP="00CA31DC">
            <w:pPr>
              <w:rPr>
                <w:sz w:val="19"/>
                <w:szCs w:val="19"/>
              </w:rPr>
            </w:pPr>
            <w:r>
              <w:rPr>
                <w:sz w:val="19"/>
                <w:szCs w:val="19"/>
              </w:rPr>
              <w:t>Thomas Michel</w:t>
            </w:r>
          </w:p>
        </w:tc>
        <w:tc>
          <w:tcPr>
            <w:tcW w:w="1979" w:type="dxa"/>
          </w:tcPr>
          <w:p w14:paraId="4BA6040D" w14:textId="35245FD4" w:rsidR="009F6942" w:rsidRDefault="009F6942" w:rsidP="00CA31DC">
            <w:pPr>
              <w:rPr>
                <w:sz w:val="19"/>
                <w:szCs w:val="19"/>
              </w:rPr>
            </w:pPr>
            <w:r>
              <w:rPr>
                <w:sz w:val="19"/>
                <w:szCs w:val="19"/>
              </w:rPr>
              <w:t>Quentin Mallet</w:t>
            </w:r>
          </w:p>
        </w:tc>
      </w:tr>
      <w:tr w:rsidR="009F6942" w14:paraId="3CD8247D" w14:textId="3AF6474E" w:rsidTr="00AF613E">
        <w:tc>
          <w:tcPr>
            <w:tcW w:w="624" w:type="dxa"/>
          </w:tcPr>
          <w:p w14:paraId="73690351" w14:textId="603BF4F9" w:rsidR="009F6942" w:rsidRDefault="009F6942" w:rsidP="00CA31DC">
            <w:pPr>
              <w:rPr>
                <w:sz w:val="19"/>
                <w:szCs w:val="19"/>
              </w:rPr>
            </w:pPr>
            <w:r>
              <w:rPr>
                <w:sz w:val="19"/>
                <w:szCs w:val="19"/>
              </w:rPr>
              <w:t>260728</w:t>
            </w:r>
          </w:p>
        </w:tc>
        <w:tc>
          <w:tcPr>
            <w:tcW w:w="4236" w:type="dxa"/>
            <w:tcMar>
              <w:top w:w="80" w:type="dxa"/>
              <w:left w:w="100" w:type="dxa"/>
              <w:bottom w:w="80" w:type="dxa"/>
              <w:right w:w="100" w:type="dxa"/>
            </w:tcMar>
            <w:vAlign w:val="center"/>
          </w:tcPr>
          <w:p w14:paraId="11DA6FC0" w14:textId="1959CC8D" w:rsidR="009F6942" w:rsidRDefault="009F6942" w:rsidP="00CA31DC">
            <w:pPr>
              <w:rPr>
                <w:sz w:val="19"/>
                <w:szCs w:val="19"/>
              </w:rPr>
            </w:pPr>
            <w:r>
              <w:rPr>
                <w:sz w:val="19"/>
                <w:szCs w:val="19"/>
              </w:rPr>
              <w:t xml:space="preserve">Ajout du serveur de sauvegardes </w:t>
            </w:r>
          </w:p>
        </w:tc>
        <w:tc>
          <w:tcPr>
            <w:tcW w:w="2160" w:type="dxa"/>
          </w:tcPr>
          <w:p w14:paraId="5DF7253B" w14:textId="0F5BDBBC" w:rsidR="009F6942" w:rsidRDefault="009F6942" w:rsidP="00CA31DC">
            <w:pPr>
              <w:rPr>
                <w:sz w:val="19"/>
                <w:szCs w:val="19"/>
              </w:rPr>
            </w:pPr>
            <w:r>
              <w:rPr>
                <w:sz w:val="19"/>
                <w:szCs w:val="19"/>
              </w:rPr>
              <w:t>Thomas Michel</w:t>
            </w:r>
          </w:p>
        </w:tc>
        <w:tc>
          <w:tcPr>
            <w:tcW w:w="1979" w:type="dxa"/>
          </w:tcPr>
          <w:p w14:paraId="151A5A59" w14:textId="606B26FD" w:rsidR="009F6942" w:rsidRDefault="00892E92" w:rsidP="00CA31DC">
            <w:pPr>
              <w:rPr>
                <w:sz w:val="19"/>
                <w:szCs w:val="19"/>
              </w:rPr>
            </w:pPr>
            <w:r>
              <w:rPr>
                <w:sz w:val="19"/>
                <w:szCs w:val="19"/>
              </w:rPr>
              <w:t>Quentin Mallet</w:t>
            </w:r>
          </w:p>
        </w:tc>
      </w:tr>
      <w:tr w:rsidR="004263FC" w14:paraId="76316D39" w14:textId="77777777" w:rsidTr="00AF613E">
        <w:tc>
          <w:tcPr>
            <w:tcW w:w="624" w:type="dxa"/>
          </w:tcPr>
          <w:p w14:paraId="394E6FFD" w14:textId="075F6C45" w:rsidR="004263FC" w:rsidRDefault="004263FC" w:rsidP="00CA31DC">
            <w:pPr>
              <w:rPr>
                <w:sz w:val="19"/>
                <w:szCs w:val="19"/>
              </w:rPr>
            </w:pPr>
            <w:r>
              <w:rPr>
                <w:sz w:val="19"/>
                <w:szCs w:val="19"/>
              </w:rPr>
              <w:t>260805</w:t>
            </w:r>
          </w:p>
        </w:tc>
        <w:tc>
          <w:tcPr>
            <w:tcW w:w="4236" w:type="dxa"/>
            <w:tcMar>
              <w:top w:w="80" w:type="dxa"/>
              <w:left w:w="100" w:type="dxa"/>
              <w:bottom w:w="80" w:type="dxa"/>
              <w:right w:w="100" w:type="dxa"/>
            </w:tcMar>
            <w:vAlign w:val="center"/>
          </w:tcPr>
          <w:p w14:paraId="112AED52" w14:textId="41C9AAB9" w:rsidR="004263FC" w:rsidRDefault="00244E38" w:rsidP="00CA31DC">
            <w:pPr>
              <w:rPr>
                <w:sz w:val="19"/>
                <w:szCs w:val="19"/>
              </w:rPr>
            </w:pPr>
            <w:r>
              <w:rPr>
                <w:sz w:val="19"/>
                <w:szCs w:val="19"/>
              </w:rPr>
              <w:t xml:space="preserve">Ajout TLS applicatif , </w:t>
            </w:r>
            <w:r w:rsidR="004263FC">
              <w:rPr>
                <w:sz w:val="19"/>
                <w:szCs w:val="19"/>
              </w:rPr>
              <w:t xml:space="preserve">Passage des sauvegardes en mode push, suppression de FL-08 et </w:t>
            </w:r>
            <w:proofErr w:type="spellStart"/>
            <w:r w:rsidR="004263FC">
              <w:rPr>
                <w:sz w:val="19"/>
                <w:szCs w:val="19"/>
              </w:rPr>
              <w:t>remappage</w:t>
            </w:r>
            <w:proofErr w:type="spellEnd"/>
            <w:r w:rsidR="004263FC">
              <w:rPr>
                <w:sz w:val="19"/>
                <w:szCs w:val="19"/>
              </w:rPr>
              <w:t xml:space="preserve"> de FL-09, ajout de fail2ban</w:t>
            </w:r>
          </w:p>
        </w:tc>
        <w:tc>
          <w:tcPr>
            <w:tcW w:w="2160" w:type="dxa"/>
          </w:tcPr>
          <w:p w14:paraId="36DEFCF2" w14:textId="7409BEE2" w:rsidR="004263FC" w:rsidRDefault="004263FC" w:rsidP="00CA31DC">
            <w:pPr>
              <w:rPr>
                <w:sz w:val="19"/>
                <w:szCs w:val="19"/>
              </w:rPr>
            </w:pPr>
            <w:r>
              <w:rPr>
                <w:sz w:val="19"/>
                <w:szCs w:val="19"/>
              </w:rPr>
              <w:t>Thomas Michel</w:t>
            </w:r>
          </w:p>
        </w:tc>
        <w:tc>
          <w:tcPr>
            <w:tcW w:w="1979" w:type="dxa"/>
          </w:tcPr>
          <w:p w14:paraId="239A6C18" w14:textId="77777778" w:rsidR="004263FC" w:rsidRDefault="004263FC" w:rsidP="00CA31DC">
            <w:pPr>
              <w:rPr>
                <w:sz w:val="19"/>
                <w:szCs w:val="19"/>
              </w:rPr>
            </w:pPr>
          </w:p>
        </w:tc>
      </w:tr>
    </w:tbl>
    <w:p w14:paraId="6C35F38D" w14:textId="77777777" w:rsidR="008E6474" w:rsidRDefault="008E6474" w:rsidP="008E6474">
      <w:pPr>
        <w:rPr>
          <w:b/>
          <w:bCs/>
          <w:color w:val="1F4E79"/>
          <w:sz w:val="32"/>
          <w:szCs w:val="32"/>
        </w:rPr>
      </w:pPr>
      <w:r>
        <w:br w:type="page"/>
      </w:r>
    </w:p>
    <w:p w14:paraId="7391AF43" w14:textId="53626CDC" w:rsidR="00D447D6" w:rsidRDefault="00000000">
      <w:pPr>
        <w:pStyle w:val="Titre1"/>
      </w:pPr>
      <w:bookmarkStart w:id="0" w:name="_Toc236130198"/>
      <w:r>
        <w:lastRenderedPageBreak/>
        <w:t>Table des matières</w:t>
      </w:r>
      <w:bookmarkEnd w:id="0"/>
    </w:p>
    <w:sdt>
      <w:sdtPr>
        <w:alias w:val="Table des matières"/>
        <w:id w:val="1851753459"/>
      </w:sdtPr>
      <w:sdtContent>
        <w:p w14:paraId="0BDF94E3" w14:textId="73B15D0B" w:rsidR="00DA14FD" w:rsidRDefault="00000000">
          <w:pPr>
            <w:pStyle w:val="TM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130198" w:history="1">
            <w:r w:rsidR="00DA14FD">
              <w:rPr>
                <w:rStyle w:val="Lienhypertexte"/>
                <w:noProof/>
              </w:rPr>
              <w:t>Table des matières</w:t>
            </w:r>
            <w:r w:rsidR="00DA14FD">
              <w:rPr>
                <w:noProof/>
              </w:rPr>
              <w:tab/>
            </w:r>
            <w:r w:rsidR="00DA14FD">
              <w:rPr>
                <w:noProof/>
              </w:rPr>
              <w:fldChar w:fldCharType="begin"/>
            </w:r>
            <w:r w:rsidR="00DA14FD">
              <w:rPr>
                <w:noProof/>
              </w:rPr>
              <w:instrText xml:space="preserve"> PAGEREF _Toc236130198 \h </w:instrText>
            </w:r>
            <w:r w:rsidR="00DA14FD">
              <w:rPr>
                <w:noProof/>
              </w:rPr>
            </w:r>
            <w:r w:rsidR="00DA14FD">
              <w:rPr>
                <w:noProof/>
              </w:rPr>
              <w:fldChar w:fldCharType="separate"/>
            </w:r>
            <w:r w:rsidR="006D0513">
              <w:rPr>
                <w:noProof/>
              </w:rPr>
              <w:t>2</w:t>
            </w:r>
            <w:r w:rsidR="00DA14FD">
              <w:rPr>
                <w:noProof/>
              </w:rPr>
              <w:fldChar w:fldCharType="end"/>
            </w:r>
          </w:hyperlink>
        </w:p>
        <w:p w14:paraId="1B5F890E" w14:textId="1E0325DF"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199" w:history="1">
            <w:r>
              <w:rPr>
                <w:rStyle w:val="Lienhypertexte"/>
                <w:noProof/>
              </w:rPr>
              <w:t>1. Historique des changements</w:t>
            </w:r>
            <w:r>
              <w:rPr>
                <w:noProof/>
              </w:rPr>
              <w:tab/>
            </w:r>
            <w:r>
              <w:rPr>
                <w:noProof/>
              </w:rPr>
              <w:fldChar w:fldCharType="begin"/>
            </w:r>
            <w:r>
              <w:rPr>
                <w:noProof/>
              </w:rPr>
              <w:instrText xml:space="preserve"> PAGEREF _Toc236130199 \h </w:instrText>
            </w:r>
            <w:r>
              <w:rPr>
                <w:noProof/>
              </w:rPr>
            </w:r>
            <w:r>
              <w:rPr>
                <w:noProof/>
              </w:rPr>
              <w:fldChar w:fldCharType="separate"/>
            </w:r>
            <w:r w:rsidR="006D0513">
              <w:rPr>
                <w:noProof/>
              </w:rPr>
              <w:t>2</w:t>
            </w:r>
            <w:r>
              <w:rPr>
                <w:noProof/>
              </w:rPr>
              <w:fldChar w:fldCharType="end"/>
            </w:r>
          </w:hyperlink>
        </w:p>
        <w:p w14:paraId="3B19A797" w14:textId="514B7E03"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0" w:history="1">
            <w:r>
              <w:rPr>
                <w:rStyle w:val="Lienhypertexte"/>
                <w:noProof/>
              </w:rPr>
              <w:t>2. Introduction</w:t>
            </w:r>
            <w:r>
              <w:rPr>
                <w:noProof/>
              </w:rPr>
              <w:tab/>
            </w:r>
            <w:r>
              <w:rPr>
                <w:noProof/>
              </w:rPr>
              <w:fldChar w:fldCharType="begin"/>
            </w:r>
            <w:r>
              <w:rPr>
                <w:noProof/>
              </w:rPr>
              <w:instrText xml:space="preserve"> PAGEREF _Toc236130200 \h </w:instrText>
            </w:r>
            <w:r>
              <w:rPr>
                <w:noProof/>
              </w:rPr>
            </w:r>
            <w:r>
              <w:rPr>
                <w:noProof/>
              </w:rPr>
              <w:fldChar w:fldCharType="separate"/>
            </w:r>
            <w:r w:rsidR="006D0513">
              <w:rPr>
                <w:noProof/>
              </w:rPr>
              <w:t>3</w:t>
            </w:r>
            <w:r>
              <w:rPr>
                <w:noProof/>
              </w:rPr>
              <w:fldChar w:fldCharType="end"/>
            </w:r>
          </w:hyperlink>
        </w:p>
        <w:p w14:paraId="623F2CF6" w14:textId="7C2B7406"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1" w:history="1">
            <w:r>
              <w:rPr>
                <w:rStyle w:val="Lienhypertexte"/>
                <w:noProof/>
              </w:rPr>
              <w:t>3.  Diagrammes de séquence</w:t>
            </w:r>
            <w:r>
              <w:rPr>
                <w:noProof/>
              </w:rPr>
              <w:tab/>
            </w:r>
            <w:r>
              <w:rPr>
                <w:noProof/>
              </w:rPr>
              <w:fldChar w:fldCharType="begin"/>
            </w:r>
            <w:r>
              <w:rPr>
                <w:noProof/>
              </w:rPr>
              <w:instrText xml:space="preserve"> PAGEREF _Toc236130201 \h </w:instrText>
            </w:r>
            <w:r>
              <w:rPr>
                <w:noProof/>
              </w:rPr>
            </w:r>
            <w:r>
              <w:rPr>
                <w:noProof/>
              </w:rPr>
              <w:fldChar w:fldCharType="separate"/>
            </w:r>
            <w:r w:rsidR="006D0513">
              <w:rPr>
                <w:noProof/>
              </w:rPr>
              <w:t>4</w:t>
            </w:r>
            <w:r>
              <w:rPr>
                <w:noProof/>
              </w:rPr>
              <w:fldChar w:fldCharType="end"/>
            </w:r>
          </w:hyperlink>
        </w:p>
        <w:p w14:paraId="2CACC2CB" w14:textId="1DC366B7" w:rsidR="00DA14FD" w:rsidRDefault="00DA14FD">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6130202" w:history="1">
            <w:r>
              <w:rPr>
                <w:rStyle w:val="Lienhypertexte"/>
                <w:noProof/>
              </w:rPr>
              <w:t>3.1 Interaction utilisateur (consultation et dépôt d'un message)</w:t>
            </w:r>
            <w:r>
              <w:rPr>
                <w:noProof/>
              </w:rPr>
              <w:tab/>
            </w:r>
            <w:r>
              <w:rPr>
                <w:noProof/>
              </w:rPr>
              <w:fldChar w:fldCharType="begin"/>
            </w:r>
            <w:r>
              <w:rPr>
                <w:noProof/>
              </w:rPr>
              <w:instrText xml:space="preserve"> PAGEREF _Toc236130202 \h </w:instrText>
            </w:r>
            <w:r>
              <w:rPr>
                <w:noProof/>
              </w:rPr>
            </w:r>
            <w:r>
              <w:rPr>
                <w:noProof/>
              </w:rPr>
              <w:fldChar w:fldCharType="separate"/>
            </w:r>
            <w:r w:rsidR="006D0513">
              <w:rPr>
                <w:noProof/>
              </w:rPr>
              <w:t>4</w:t>
            </w:r>
            <w:r>
              <w:rPr>
                <w:noProof/>
              </w:rPr>
              <w:fldChar w:fldCharType="end"/>
            </w:r>
          </w:hyperlink>
        </w:p>
        <w:p w14:paraId="7AB9AF06" w14:textId="27E14422" w:rsidR="00DA14FD" w:rsidRDefault="00DA14FD">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6130203" w:history="1">
            <w:r>
              <w:rPr>
                <w:rStyle w:val="Lienhypertexte"/>
                <w:noProof/>
              </w:rPr>
              <w:t>3.2 Interaction administrateur (administration générale des serveurs)</w:t>
            </w:r>
            <w:r>
              <w:rPr>
                <w:noProof/>
              </w:rPr>
              <w:tab/>
            </w:r>
            <w:r>
              <w:rPr>
                <w:noProof/>
              </w:rPr>
              <w:fldChar w:fldCharType="begin"/>
            </w:r>
            <w:r>
              <w:rPr>
                <w:noProof/>
              </w:rPr>
              <w:instrText xml:space="preserve"> PAGEREF _Toc236130203 \h </w:instrText>
            </w:r>
            <w:r>
              <w:rPr>
                <w:noProof/>
              </w:rPr>
            </w:r>
            <w:r>
              <w:rPr>
                <w:noProof/>
              </w:rPr>
              <w:fldChar w:fldCharType="separate"/>
            </w:r>
            <w:r w:rsidR="006D0513">
              <w:rPr>
                <w:noProof/>
              </w:rPr>
              <w:t>4</w:t>
            </w:r>
            <w:r>
              <w:rPr>
                <w:noProof/>
              </w:rPr>
              <w:fldChar w:fldCharType="end"/>
            </w:r>
          </w:hyperlink>
        </w:p>
        <w:p w14:paraId="407C6BBF" w14:textId="75C57567"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4" w:history="1">
            <w:r>
              <w:rPr>
                <w:rStyle w:val="Lienhypertexte"/>
                <w:noProof/>
              </w:rPr>
              <w:t>4. Diagramme des périmètres de sécurité</w:t>
            </w:r>
            <w:r>
              <w:rPr>
                <w:noProof/>
              </w:rPr>
              <w:tab/>
            </w:r>
            <w:r>
              <w:rPr>
                <w:noProof/>
              </w:rPr>
              <w:fldChar w:fldCharType="begin"/>
            </w:r>
            <w:r>
              <w:rPr>
                <w:noProof/>
              </w:rPr>
              <w:instrText xml:space="preserve"> PAGEREF _Toc236130204 \h </w:instrText>
            </w:r>
            <w:r>
              <w:rPr>
                <w:noProof/>
              </w:rPr>
            </w:r>
            <w:r>
              <w:rPr>
                <w:noProof/>
              </w:rPr>
              <w:fldChar w:fldCharType="separate"/>
            </w:r>
            <w:r w:rsidR="006D0513">
              <w:rPr>
                <w:noProof/>
              </w:rPr>
              <w:t>6</w:t>
            </w:r>
            <w:r>
              <w:rPr>
                <w:noProof/>
              </w:rPr>
              <w:fldChar w:fldCharType="end"/>
            </w:r>
          </w:hyperlink>
        </w:p>
        <w:p w14:paraId="003E4DE4" w14:textId="3329C5E1"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5" w:history="1">
            <w:r>
              <w:rPr>
                <w:rStyle w:val="Lienhypertexte"/>
                <w:noProof/>
              </w:rPr>
              <w:t>5. Matrice de flux</w:t>
            </w:r>
            <w:r>
              <w:rPr>
                <w:noProof/>
              </w:rPr>
              <w:tab/>
            </w:r>
            <w:r>
              <w:rPr>
                <w:noProof/>
              </w:rPr>
              <w:fldChar w:fldCharType="begin"/>
            </w:r>
            <w:r>
              <w:rPr>
                <w:noProof/>
              </w:rPr>
              <w:instrText xml:space="preserve"> PAGEREF _Toc236130205 \h </w:instrText>
            </w:r>
            <w:r>
              <w:rPr>
                <w:noProof/>
              </w:rPr>
            </w:r>
            <w:r>
              <w:rPr>
                <w:noProof/>
              </w:rPr>
              <w:fldChar w:fldCharType="separate"/>
            </w:r>
            <w:r w:rsidR="006D0513">
              <w:rPr>
                <w:noProof/>
              </w:rPr>
              <w:t>7</w:t>
            </w:r>
            <w:r>
              <w:rPr>
                <w:noProof/>
              </w:rPr>
              <w:fldChar w:fldCharType="end"/>
            </w:r>
          </w:hyperlink>
        </w:p>
        <w:p w14:paraId="713ECC96" w14:textId="5E0D64C3" w:rsidR="00DA14FD" w:rsidRDefault="00DA14FD">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6130206" w:history="1">
            <w:r>
              <w:rPr>
                <w:rStyle w:val="Lienhypertexte"/>
                <w:noProof/>
              </w:rPr>
              <w:t>6. Diagramme réseau</w:t>
            </w:r>
            <w:r>
              <w:rPr>
                <w:noProof/>
              </w:rPr>
              <w:tab/>
            </w:r>
            <w:r>
              <w:rPr>
                <w:noProof/>
              </w:rPr>
              <w:fldChar w:fldCharType="begin"/>
            </w:r>
            <w:r>
              <w:rPr>
                <w:noProof/>
              </w:rPr>
              <w:instrText xml:space="preserve"> PAGEREF _Toc236130206 \h </w:instrText>
            </w:r>
            <w:r>
              <w:rPr>
                <w:noProof/>
              </w:rPr>
            </w:r>
            <w:r>
              <w:rPr>
                <w:noProof/>
              </w:rPr>
              <w:fldChar w:fldCharType="separate"/>
            </w:r>
            <w:r w:rsidR="006D0513">
              <w:rPr>
                <w:noProof/>
              </w:rPr>
              <w:t>9</w:t>
            </w:r>
            <w:r>
              <w:rPr>
                <w:noProof/>
              </w:rPr>
              <w:fldChar w:fldCharType="end"/>
            </w:r>
          </w:hyperlink>
        </w:p>
        <w:p w14:paraId="323A92AF" w14:textId="113B8F82" w:rsidR="00ED47C9" w:rsidRDefault="00000000">
          <w:r>
            <w:fldChar w:fldCharType="end"/>
          </w:r>
        </w:p>
      </w:sdtContent>
    </w:sdt>
    <w:p w14:paraId="06DF617D" w14:textId="509FC655" w:rsidR="00DA14FD" w:rsidRDefault="00DA14FD" w:rsidP="00DA14FD">
      <w:pPr>
        <w:pStyle w:val="Titre1"/>
      </w:pPr>
      <w:bookmarkStart w:id="1" w:name="_Toc236130199"/>
      <w:r>
        <w:t>1. Historique des changements</w:t>
      </w:r>
      <w:bookmarkEnd w:id="1"/>
    </w:p>
    <w:p w14:paraId="07F1763A" w14:textId="71898B2A" w:rsidR="00DA14FD" w:rsidRDefault="00C641D5" w:rsidP="00DA14FD">
      <w:pPr>
        <w:pStyle w:val="Sansinterligne"/>
      </w:pPr>
      <w:r>
        <w:rPr>
          <w:b/>
          <w:bCs/>
          <w:u w:val="single"/>
        </w:rPr>
        <w:t>260728</w:t>
      </w:r>
      <w:r>
        <w:t> : Ajout de la mention du serveur de sauvegarde Borg dans la partie 2 (Introduction) et figure 2, modification des figures 3 &amp; 4 en conséquence et ajout des flux FL-07, FL-08 et FL-09.</w:t>
      </w:r>
    </w:p>
    <w:p w14:paraId="40FDB715" w14:textId="77777777" w:rsidR="004263FC" w:rsidRDefault="004263FC" w:rsidP="00DA14FD">
      <w:pPr>
        <w:pStyle w:val="Sansinterligne"/>
      </w:pPr>
    </w:p>
    <w:p w14:paraId="039583DA" w14:textId="2E8937E7" w:rsidR="00D447D6" w:rsidRDefault="004263FC" w:rsidP="004263FC">
      <w:pPr>
        <w:pStyle w:val="Sansinterligne"/>
      </w:pPr>
      <w:r>
        <w:rPr>
          <w:b/>
          <w:bCs/>
          <w:u w:val="single"/>
        </w:rPr>
        <w:t>26080</w:t>
      </w:r>
      <w:r w:rsidR="00244E38">
        <w:rPr>
          <w:b/>
          <w:bCs/>
          <w:u w:val="single"/>
        </w:rPr>
        <w:t>5</w:t>
      </w:r>
      <w:r>
        <w:t xml:space="preserve"> : Ajout du TLS applicatif sur SRV-</w:t>
      </w:r>
      <w:r w:rsidR="00244E38">
        <w:t>1</w:t>
      </w:r>
      <w:r>
        <w:t>. Port 80 redirige désormais vers 44</w:t>
      </w:r>
      <w:r w:rsidR="00244E38">
        <w:t>3</w:t>
      </w:r>
      <w:r>
        <w:t>. Modification de la figure 1 (flux HTTPS) et de la matrice de flux (FL-01 mis à jour, FL-01bis ajouté).</w:t>
      </w:r>
      <w:r w:rsidR="00244E38">
        <w:t xml:space="preserve"> </w:t>
      </w:r>
      <w:r>
        <w:t xml:space="preserve">Passage des sauvegardes BORG en mode push. Suppression du flux FL-08 et </w:t>
      </w:r>
      <w:proofErr w:type="spellStart"/>
      <w:r>
        <w:t>remappage</w:t>
      </w:r>
      <w:proofErr w:type="spellEnd"/>
      <w:r>
        <w:t xml:space="preserve"> de l'ancien FL-09 en FL-08. Ajout de fail2ban comme mesure de sécurisation complémentaire sur le flux FL-04. Mise à jour de la section 4 et de la figure 4 en conséquence.</w:t>
      </w:r>
    </w:p>
    <w:p w14:paraId="039583DB" w14:textId="2B0207C9" w:rsidR="00D447D6" w:rsidRPr="00DA14FD" w:rsidRDefault="00DA14FD" w:rsidP="00DA14FD">
      <w:pPr>
        <w:pStyle w:val="Titre1"/>
      </w:pPr>
      <w:r>
        <w:br w:type="page"/>
      </w:r>
      <w:bookmarkStart w:id="2" w:name="_Toc236130200"/>
      <w:r>
        <w:lastRenderedPageBreak/>
        <w:t>2. Introduction</w:t>
      </w:r>
      <w:bookmarkEnd w:id="2"/>
    </w:p>
    <w:p w14:paraId="19F01F42" w14:textId="77777777" w:rsidR="00D447D6" w:rsidRDefault="00000000">
      <w:pPr>
        <w:spacing w:after="160"/>
      </w:pPr>
      <w:r>
        <w:t>Ce document présente la conception de haut niveau (HLD) de l'infrastructure hébergeant l'application interne « mur de messages ». L'architecture repose sur trois serveurs internes dédiés, un bastion d'administration, une machine de supervision et une machine de sauvegarde :</w:t>
      </w:r>
    </w:p>
    <w:p w14:paraId="2BEBF162" w14:textId="5E7E27D5" w:rsidR="00D447D6" w:rsidRDefault="00000000">
      <w:pPr>
        <w:pStyle w:val="Paragraphedeliste"/>
        <w:numPr>
          <w:ilvl w:val="0"/>
          <w:numId w:val="1"/>
        </w:numPr>
        <w:spacing w:after="60"/>
      </w:pPr>
      <w:r>
        <w:t xml:space="preserve">SRV-1 : serveur applicatif, héberge l'application web exposée aux utilisateurs par un serveur </w:t>
      </w:r>
      <w:proofErr w:type="spellStart"/>
      <w:r>
        <w:t>nginx</w:t>
      </w:r>
      <w:proofErr w:type="spellEnd"/>
      <w:r>
        <w:t xml:space="preserve"> (TLS) comme proxy vers l’application </w:t>
      </w:r>
      <w:proofErr w:type="spellStart"/>
      <w:r>
        <w:t>flask</w:t>
      </w:r>
      <w:proofErr w:type="spellEnd"/>
      <w:r>
        <w:t>.</w:t>
      </w:r>
    </w:p>
    <w:p w14:paraId="1597FE3E" w14:textId="77777777" w:rsidR="00D447D6" w:rsidRDefault="00000000">
      <w:pPr>
        <w:pStyle w:val="Paragraphedeliste"/>
        <w:numPr>
          <w:ilvl w:val="0"/>
          <w:numId w:val="1"/>
        </w:numPr>
        <w:spacing w:after="60"/>
      </w:pPr>
      <w:r>
        <w:t>SRV-2 : serveur de base de données, héberge PostgreSQL et n'est jamais exposé directement à l'extérieur.</w:t>
      </w:r>
    </w:p>
    <w:p w14:paraId="03014880" w14:textId="77777777" w:rsidR="00D447D6" w:rsidRDefault="00000000">
      <w:pPr>
        <w:pStyle w:val="Paragraphedeliste"/>
        <w:numPr>
          <w:ilvl w:val="0"/>
          <w:numId w:val="1"/>
        </w:numPr>
        <w:spacing w:after="60"/>
      </w:pPr>
      <w:r>
        <w:t>Bastion : point de passage unique et journalisé pour toute administration système.</w:t>
      </w:r>
    </w:p>
    <w:p w14:paraId="6346FDE9" w14:textId="77777777" w:rsidR="00D447D6" w:rsidRDefault="00000000">
      <w:pPr>
        <w:pStyle w:val="Paragraphedeliste"/>
        <w:numPr>
          <w:ilvl w:val="0"/>
          <w:numId w:val="1"/>
        </w:numPr>
        <w:spacing w:after="60"/>
      </w:pPr>
      <w:r>
        <w:t>Backup : serveur de sauvegarde (BORG), connecté uniquement au pare-feu ; reçoit en mode push la sauvegarde initiée par SRV-2 et s'administre via le bastion, comme les autres serveurs internes.</w:t>
      </w:r>
    </w:p>
    <w:p w14:paraId="50000001" w14:textId="77777777" w:rsidR="00D447D6" w:rsidRDefault="00000000">
      <w:pPr>
        <w:pStyle w:val="Paragraphedeliste"/>
        <w:numPr>
          <w:ilvl w:val="0"/>
          <w:numId w:val="1"/>
        </w:numPr>
        <w:spacing w:after="60"/>
      </w:pPr>
      <w:r>
        <w:t>SIEM : centralise les journaux des quatre machines précédentes et du pare-feu, pour la corrélation et la détection d'incidents.</w:t>
      </w:r>
    </w:p>
    <w:p w14:paraId="3587C251" w14:textId="77777777" w:rsidR="00D447D6" w:rsidRDefault="00000000">
      <w:pPr>
        <w:spacing w:after="200"/>
      </w:pPr>
      <w:r>
        <w:t>L'accès depuis l'extérieur est filtré par un pare-feu périmétrique (</w:t>
      </w:r>
      <w:proofErr w:type="spellStart"/>
      <w:r>
        <w:t>PfSense</w:t>
      </w:r>
      <w:proofErr w:type="spellEnd"/>
      <w:r>
        <w:t xml:space="preserve">), qui n'autorise que les flux strictement nécessaires. Ce pare-feu agit également comme routeur entre tous les segments internes : aucun flux, y compris entre le serveur applicatif et la base de données, ne transite directement d'un segment à l'autre sans passer par lui — c'est le principe de sécurité en profondeur retenu pour cette architecture. Chaque serveur applique en complément son propre durcissement </w:t>
      </w:r>
      <w:proofErr w:type="spellStart"/>
      <w:r>
        <w:t>iptables</w:t>
      </w:r>
      <w:proofErr w:type="spellEnd"/>
      <w:r>
        <w:t>.</w:t>
      </w:r>
    </w:p>
    <w:tbl>
      <w:tblPr>
        <w:tblW w:w="5000" w:type="pct"/>
        <w:tblBorders>
          <w:top w:val="single" w:sz="6" w:space="0" w:color="BF8F00"/>
          <w:left w:val="single" w:sz="6" w:space="0" w:color="BF8F00"/>
          <w:bottom w:val="single" w:sz="6" w:space="0" w:color="BF8F00"/>
          <w:right w:val="single" w:sz="6"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447D6" w14:paraId="27DDC523" w14:textId="77777777">
        <w:tc>
          <w:tcPr>
            <w:tcW w:w="0" w:type="auto"/>
            <w:shd w:val="clear" w:color="auto" w:fill="FFF2CC"/>
            <w:tcMar>
              <w:top w:w="120" w:type="dxa"/>
              <w:left w:w="160" w:type="dxa"/>
              <w:bottom w:w="120" w:type="dxa"/>
              <w:right w:w="160" w:type="dxa"/>
            </w:tcMar>
          </w:tcPr>
          <w:p w14:paraId="343672C5" w14:textId="77777777" w:rsidR="00D447D6" w:rsidRDefault="00000000">
            <w:r>
              <w:rPr>
                <w:b/>
                <w:bCs/>
                <w:sz w:val="20"/>
                <w:szCs w:val="20"/>
              </w:rPr>
              <w:t xml:space="preserve">⚠ Principe clé — Aucun flux inter-segment ne contourne </w:t>
            </w:r>
            <w:proofErr w:type="spellStart"/>
            <w:r>
              <w:rPr>
                <w:b/>
                <w:bCs/>
                <w:sz w:val="20"/>
                <w:szCs w:val="20"/>
              </w:rPr>
              <w:t>PfSense</w:t>
            </w:r>
            <w:proofErr w:type="spellEnd"/>
            <w:r>
              <w:rPr>
                <w:b/>
                <w:bCs/>
                <w:sz w:val="20"/>
                <w:szCs w:val="20"/>
              </w:rPr>
              <w:t>, y compris entre SRV-1 et SRV-2.</w:t>
            </w:r>
          </w:p>
        </w:tc>
      </w:tr>
    </w:tbl>
    <w:p w14:paraId="01E093D4" w14:textId="4242BA70" w:rsidR="00DA14FD" w:rsidRDefault="00DA14FD">
      <w:pPr>
        <w:spacing w:after="300"/>
      </w:pPr>
    </w:p>
    <w:p w14:paraId="14F721DF" w14:textId="77777777" w:rsidR="00DA14FD" w:rsidRDefault="00DA14FD">
      <w:r>
        <w:br w:type="page"/>
      </w:r>
    </w:p>
    <w:p w14:paraId="1F93E3C4" w14:textId="16846D32" w:rsidR="00D447D6" w:rsidRDefault="00DA14FD">
      <w:pPr>
        <w:pStyle w:val="Titre1"/>
      </w:pPr>
      <w:bookmarkStart w:id="3" w:name="_Toc236130201"/>
      <w:r>
        <w:lastRenderedPageBreak/>
        <w:t>3.  Diagrammes de séquence</w:t>
      </w:r>
      <w:bookmarkEnd w:id="3"/>
    </w:p>
    <w:p w14:paraId="56F55CEA" w14:textId="3A4A182D" w:rsidR="00D447D6" w:rsidRDefault="00DA14FD">
      <w:pPr>
        <w:pStyle w:val="Titre2"/>
      </w:pPr>
      <w:bookmarkStart w:id="4" w:name="_Toc236130202"/>
      <w:r>
        <w:t>3.1 Interaction utilisateur (consultation et dépôt d'un message)</w:t>
      </w:r>
      <w:bookmarkEnd w:id="4"/>
    </w:p>
    <w:p w14:paraId="1DFA6709" w14:textId="5F01EAE4" w:rsidR="00D447D6" w:rsidRDefault="00000000">
      <w:pPr>
        <w:spacing w:after="160"/>
      </w:pPr>
      <w:r>
        <w:t xml:space="preserve">Ce diagramme illustre le parcours d'un utilisateur consultant le mur de messages (http://lechatdethomas.local), puis y déposant un nouveau message. Le pare-feu </w:t>
      </w:r>
      <w:proofErr w:type="spellStart"/>
      <w:r>
        <w:t>PfSense</w:t>
      </w:r>
      <w:proofErr w:type="spellEnd"/>
      <w:r>
        <w:t xml:space="preserve"> n'autorise que les ports 80/</w:t>
      </w:r>
      <w:proofErr w:type="spellStart"/>
      <w:r>
        <w:t>tcp</w:t>
      </w:r>
      <w:proofErr w:type="spellEnd"/>
      <w:r>
        <w:t xml:space="preserve"> et 443/</w:t>
      </w:r>
      <w:proofErr w:type="spellStart"/>
      <w:r>
        <w:t>tcp</w:t>
      </w:r>
      <w:proofErr w:type="spellEnd"/>
      <w:r>
        <w:t xml:space="preserve"> vers SRV-1 pour le proxy interne vers le port 5000. Point important : SRV-1 ne dialogue jamais directement avec SRV-2 — chaque requête SQL est relayée par </w:t>
      </w:r>
      <w:proofErr w:type="spellStart"/>
      <w:r>
        <w:t>PfSense</w:t>
      </w:r>
      <w:proofErr w:type="spellEnd"/>
      <w:r>
        <w:t>, qui applique sa propre règle de filtrage en plus de celle de SRV-2.</w:t>
      </w:r>
    </w:p>
    <w:p w14:paraId="2A4F7892" w14:textId="37D514D9" w:rsidR="00D447D6" w:rsidRPr="003E3162" w:rsidRDefault="003E3162">
      <w:pPr>
        <w:spacing w:before="120" w:after="60"/>
        <w:jc w:val="center"/>
        <w:rPr>
          <w:i/>
          <w:iCs/>
        </w:rPr>
      </w:pPr>
      <w:r>
        <w:rPr>
          <w:i/>
          <w:iCs/>
          <w:noProof/>
        </w:rPr>
        <w:drawing>
          <wp:inline distT="0" distB="0" distL="0" distR="0" wp14:anchorId="61E13D02" wp14:editId="280F9C52">
            <wp:extent cx="5478780" cy="4204199"/>
            <wp:effectExtent l="0" t="0" r="7620" b="6350"/>
            <wp:docPr id="575011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1138" name="Image 575011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9792" cy="4212649"/>
                    </a:xfrm>
                    <a:prstGeom prst="rect">
                      <a:avLst/>
                    </a:prstGeom>
                  </pic:spPr>
                </pic:pic>
              </a:graphicData>
            </a:graphic>
          </wp:inline>
        </w:drawing>
      </w:r>
    </w:p>
    <w:p w14:paraId="45D14AA3" w14:textId="77777777" w:rsidR="00D447D6" w:rsidRDefault="00000000">
      <w:pPr>
        <w:spacing w:before="80" w:after="300"/>
        <w:jc w:val="center"/>
      </w:pPr>
      <w:r>
        <w:rPr>
          <w:i/>
          <w:iCs/>
          <w:color w:val="595959"/>
          <w:sz w:val="20"/>
          <w:szCs w:val="20"/>
        </w:rPr>
        <w:t>Figure 1 — Diagramme de séquence : interaction utilisateur</w:t>
      </w:r>
    </w:p>
    <w:p w14:paraId="092921A4" w14:textId="39061A5A" w:rsidR="00D447D6" w:rsidRDefault="00DA14FD">
      <w:pPr>
        <w:pStyle w:val="Titre2"/>
      </w:pPr>
      <w:bookmarkStart w:id="5" w:name="_Toc236130203"/>
      <w:r>
        <w:t>3.2 Interaction administrateur (administration générale des serveurs)</w:t>
      </w:r>
      <w:bookmarkEnd w:id="5"/>
    </w:p>
    <w:p w14:paraId="09FC3C91" w14:textId="77777777" w:rsidR="00D447D6" w:rsidRDefault="00000000">
      <w:pPr>
        <w:spacing w:after="160"/>
      </w:pPr>
      <w:r>
        <w:t>Ce diagramme illustre une session d'administration type : l'administrateur ne se connecte jamais directement à un serveur interne. Il passe d'abord par le pare-feu périmétrique (SSH sur le port 2222 — un port non standard qui réduit le bruit des scans automatisés mais n'est pas en soi une mesure de sécurité) puis par le bastion, qui journalise la session, avant de rebondir vers le serveur cible (SRV-1, SRV-2 ou Backup) pour y effectuer des opérations courantes — consultation des journaux, vérification de l'état des services, actions correctives — et non la seule mise en route d'une application.</w:t>
      </w:r>
    </w:p>
    <w:p w14:paraId="2CAC2BB1" w14:textId="77777777" w:rsidR="00D447D6" w:rsidRDefault="00000000">
      <w:pPr>
        <w:spacing w:before="120" w:after="60"/>
        <w:jc w:val="center"/>
      </w:pPr>
      <w:r>
        <w:rPr>
          <w:noProof/>
        </w:rPr>
        <w:lastRenderedPageBreak/>
        <w:drawing>
          <wp:inline distT="0" distB="0" distL="0" distR="0" wp14:anchorId="4C6B8AB4" wp14:editId="09E70DF2">
            <wp:extent cx="5386466" cy="3352800"/>
            <wp:effectExtent l="0" t="0" r="5080" b="0"/>
            <wp:docPr id="1398250856" name="Image 13982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2768" cy="3356723"/>
                    </a:xfrm>
                    <a:prstGeom prst="rect">
                      <a:avLst/>
                    </a:prstGeom>
                  </pic:spPr>
                </pic:pic>
              </a:graphicData>
            </a:graphic>
          </wp:inline>
        </w:drawing>
      </w:r>
    </w:p>
    <w:p w14:paraId="6414F4CC" w14:textId="77777777" w:rsidR="00D447D6" w:rsidRDefault="00000000">
      <w:pPr>
        <w:spacing w:before="80" w:after="300"/>
        <w:jc w:val="center"/>
      </w:pPr>
      <w:r>
        <w:rPr>
          <w:i/>
          <w:iCs/>
          <w:color w:val="595959"/>
          <w:sz w:val="20"/>
          <w:szCs w:val="20"/>
        </w:rPr>
        <w:t>Figure 2 — Diagramme de séquence : interaction administrateur</w:t>
      </w:r>
    </w:p>
    <w:p w14:paraId="13002B9A" w14:textId="77777777" w:rsidR="00D447D6" w:rsidRDefault="00000000">
      <w:r>
        <w:br w:type="page"/>
      </w:r>
    </w:p>
    <w:p w14:paraId="08955F3B" w14:textId="0978C130" w:rsidR="00D447D6" w:rsidRDefault="00DA14FD">
      <w:pPr>
        <w:pStyle w:val="Titre1"/>
      </w:pPr>
      <w:bookmarkStart w:id="6" w:name="_Toc236130204"/>
      <w:r>
        <w:lastRenderedPageBreak/>
        <w:t>4. Diagramme des périmètres de sécurité</w:t>
      </w:r>
      <w:bookmarkEnd w:id="6"/>
    </w:p>
    <w:p w14:paraId="65731B52" w14:textId="77777777" w:rsidR="00D447D6" w:rsidRDefault="00000000">
      <w:pPr>
        <w:spacing w:after="160"/>
      </w:pPr>
      <w:r>
        <w:t xml:space="preserve">Le schéma ci-dessous découpe l'infrastructure en zones de confiance croissant, de la zone publique (Internet, non fiable) jusqu'aux zones internes de données et de supervision. Chaque frontière de zone correspond à un point où une mesure de sécurisation est appliquée avant de laisser passer un flux vers la zone suivante. Le pare-feu </w:t>
      </w:r>
      <w:proofErr w:type="spellStart"/>
      <w:r>
        <w:t>PfSense</w:t>
      </w:r>
      <w:proofErr w:type="spellEnd"/>
      <w:r>
        <w:t xml:space="preserve"> assure le filtrage réseau au niveau périmétrique et relaie systématiquement tout flux </w:t>
      </w:r>
      <w:proofErr w:type="spellStart"/>
      <w:r>
        <w:t>inter-zone</w:t>
      </w:r>
      <w:proofErr w:type="spellEnd"/>
      <w:r>
        <w:t xml:space="preserve">, y compris entre SRV-1 et SRV-2 ; les règles </w:t>
      </w:r>
      <w:proofErr w:type="spellStart"/>
      <w:r>
        <w:t>iptables</w:t>
      </w:r>
      <w:proofErr w:type="spellEnd"/>
      <w:r>
        <w:t xml:space="preserve"> locales à chaque serveur assurent une seconde couche de filtrage indépendante (défense en profondeur).</w:t>
      </w:r>
    </w:p>
    <w:p w14:paraId="0BEBFE2C" w14:textId="77777777" w:rsidR="00D447D6" w:rsidRDefault="00000000">
      <w:pPr>
        <w:spacing w:before="120" w:after="60"/>
        <w:jc w:val="center"/>
      </w:pPr>
      <w:r>
        <w:rPr>
          <w:noProof/>
        </w:rPr>
        <w:drawing>
          <wp:inline distT="0" distB="0" distL="0" distR="0" wp14:anchorId="3D252AA0" wp14:editId="55E0FFA2">
            <wp:extent cx="4095750" cy="2619031"/>
            <wp:effectExtent l="0" t="0" r="0" b="0"/>
            <wp:docPr id="752113672" name="Image 75211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619031"/>
                    </a:xfrm>
                    <a:prstGeom prst="rect">
                      <a:avLst/>
                    </a:prstGeom>
                  </pic:spPr>
                </pic:pic>
              </a:graphicData>
            </a:graphic>
          </wp:inline>
        </w:drawing>
      </w:r>
    </w:p>
    <w:p w14:paraId="7782883E" w14:textId="77777777" w:rsidR="00D447D6" w:rsidRDefault="00000000">
      <w:pPr>
        <w:spacing w:before="80" w:after="300"/>
        <w:jc w:val="center"/>
      </w:pPr>
      <w:r>
        <w:rPr>
          <w:i/>
          <w:iCs/>
          <w:color w:val="595959"/>
          <w:sz w:val="20"/>
          <w:szCs w:val="20"/>
        </w:rPr>
        <w:t>Figure 3 — Périmètres de sécurité de l'infrastructure</w:t>
      </w:r>
    </w:p>
    <w:p w14:paraId="65B19D72" w14:textId="77777777" w:rsidR="00D447D6" w:rsidRDefault="00000000">
      <w:pPr>
        <w:spacing w:after="40"/>
      </w:pPr>
      <w:r>
        <w:rPr>
          <w:b/>
          <w:bCs/>
          <w:sz w:val="19"/>
          <w:szCs w:val="19"/>
        </w:rPr>
        <w:t xml:space="preserve">Légende des zones : </w:t>
      </w:r>
    </w:p>
    <w:p w14:paraId="69F2000B" w14:textId="77777777" w:rsidR="00D447D6" w:rsidRDefault="00000000">
      <w:pPr>
        <w:pStyle w:val="Paragraphedeliste"/>
        <w:numPr>
          <w:ilvl w:val="0"/>
          <w:numId w:val="1"/>
        </w:numPr>
        <w:spacing w:after="60"/>
      </w:pPr>
      <w:r>
        <w:t>Zone 0 — Réseau public (Internet, non fiable)</w:t>
      </w:r>
    </w:p>
    <w:p w14:paraId="03F899D7" w14:textId="77777777" w:rsidR="00D447D6" w:rsidRDefault="00000000">
      <w:pPr>
        <w:pStyle w:val="Paragraphedeliste"/>
        <w:numPr>
          <w:ilvl w:val="0"/>
          <w:numId w:val="1"/>
        </w:numPr>
        <w:spacing w:after="60"/>
      </w:pPr>
      <w:r>
        <w:t xml:space="preserve">Zone 1 — Périmètre réseau (pare-feu </w:t>
      </w:r>
      <w:proofErr w:type="spellStart"/>
      <w:r>
        <w:t>PfSense</w:t>
      </w:r>
      <w:proofErr w:type="spellEnd"/>
      <w:r>
        <w:t>, routage inter-segments)</w:t>
      </w:r>
    </w:p>
    <w:p w14:paraId="73327989" w14:textId="444BD227" w:rsidR="00D447D6" w:rsidRDefault="00000000">
      <w:pPr>
        <w:pStyle w:val="Paragraphedeliste"/>
        <w:numPr>
          <w:ilvl w:val="0"/>
          <w:numId w:val="1"/>
        </w:numPr>
        <w:spacing w:after="60"/>
      </w:pPr>
      <w:r>
        <w:t>Zone 2 — DMZ (serveur applicatif SRV-1 avec terminaison TLS)</w:t>
      </w:r>
    </w:p>
    <w:p w14:paraId="726D71F4" w14:textId="77777777" w:rsidR="00D447D6" w:rsidRDefault="00000000">
      <w:pPr>
        <w:pStyle w:val="Paragraphedeliste"/>
        <w:numPr>
          <w:ilvl w:val="0"/>
          <w:numId w:val="1"/>
        </w:numPr>
        <w:spacing w:after="60"/>
      </w:pPr>
      <w:r>
        <w:t>Zone 3 — Management (bastion)</w:t>
      </w:r>
    </w:p>
    <w:p w14:paraId="6BB9A123" w14:textId="77777777" w:rsidR="00D447D6" w:rsidRDefault="00000000">
      <w:pPr>
        <w:pStyle w:val="Paragraphedeliste"/>
        <w:numPr>
          <w:ilvl w:val="0"/>
          <w:numId w:val="1"/>
        </w:numPr>
        <w:spacing w:after="60"/>
      </w:pPr>
      <w:r>
        <w:t>Zone 4 — Interne / données (SRV-2)</w:t>
      </w:r>
    </w:p>
    <w:p w14:paraId="4B67B386" w14:textId="77777777" w:rsidR="00D447D6" w:rsidRDefault="00000000">
      <w:pPr>
        <w:pStyle w:val="Paragraphedeliste"/>
        <w:numPr>
          <w:ilvl w:val="0"/>
          <w:numId w:val="1"/>
        </w:numPr>
        <w:spacing w:after="60"/>
      </w:pPr>
      <w:r>
        <w:t>Zone 5 — Supervision (SIEM)</w:t>
      </w:r>
    </w:p>
    <w:p w14:paraId="50000002" w14:textId="77777777" w:rsidR="00D447D6" w:rsidRDefault="00000000">
      <w:pPr>
        <w:pStyle w:val="Paragraphedeliste"/>
        <w:numPr>
          <w:ilvl w:val="0"/>
          <w:numId w:val="1"/>
        </w:numPr>
        <w:spacing w:after="60"/>
      </w:pPr>
      <w:r>
        <w:t>Zone 6 — Sauvegarde (Backup)</w:t>
      </w:r>
    </w:p>
    <w:p w14:paraId="645F069A" w14:textId="77777777" w:rsidR="00D447D6" w:rsidRDefault="00D447D6">
      <w:pPr>
        <w:spacing w:after="200"/>
      </w:pPr>
    </w:p>
    <w:p w14:paraId="2C8D2381" w14:textId="77777777" w:rsidR="00D447D6" w:rsidRDefault="00000000">
      <w:pPr>
        <w:spacing w:after="160"/>
      </w:pPr>
      <w:r>
        <w:t xml:space="preserve">Une cinquième zone est dédiée à la supervision (SIEM) : SRV-1, SRV-2, le bastion et </w:t>
      </w:r>
      <w:proofErr w:type="spellStart"/>
      <w:r>
        <w:t>PfSense</w:t>
      </w:r>
      <w:proofErr w:type="spellEnd"/>
      <w:r>
        <w:t xml:space="preserve"> lui envoient chacun leurs journaux, dans un flux à sens unique — le SIEM ne peut initier aucune connexion vers les machines supervisées.</w:t>
      </w:r>
    </w:p>
    <w:p w14:paraId="50000003" w14:textId="77777777" w:rsidR="00D447D6" w:rsidRDefault="00000000">
      <w:pPr>
        <w:spacing w:after="160"/>
      </w:pPr>
      <w:r>
        <w:t xml:space="preserve">Une sixième zone est dédiée à la sauvegarde (Backup) : ce serveur BORG n'est connecté qu'au pare-feu, jamais directement à SRV-1 ou SRV-2. C'est désormais SRV-2 qui initie la sauvegarde (mode push) via une connexion SSH restreinte relayée par </w:t>
      </w:r>
      <w:proofErr w:type="spellStart"/>
      <w:r>
        <w:t>PfSense</w:t>
      </w:r>
      <w:proofErr w:type="spellEnd"/>
      <w:r>
        <w:t xml:space="preserve"> ; Backup s'administre depuis le bastion comme les autres serveurs internes et envoie également ses journaux au SIEM.</w:t>
      </w:r>
    </w:p>
    <w:tbl>
      <w:tblPr>
        <w:tblW w:w="5000" w:type="pct"/>
        <w:tblBorders>
          <w:top w:val="single" w:sz="6" w:space="0" w:color="BF8F00"/>
          <w:left w:val="single" w:sz="6" w:space="0" w:color="BF8F00"/>
          <w:bottom w:val="single" w:sz="6" w:space="0" w:color="BF8F00"/>
          <w:right w:val="single" w:sz="6"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447D6" w14:paraId="046E5D6F" w14:textId="77777777">
        <w:tc>
          <w:tcPr>
            <w:tcW w:w="0" w:type="auto"/>
            <w:shd w:val="clear" w:color="auto" w:fill="FFF2CC"/>
            <w:tcMar>
              <w:top w:w="120" w:type="dxa"/>
              <w:left w:w="160" w:type="dxa"/>
              <w:bottom w:w="120" w:type="dxa"/>
              <w:right w:w="160" w:type="dxa"/>
            </w:tcMar>
          </w:tcPr>
          <w:p w14:paraId="3D97D25F" w14:textId="77777777" w:rsidR="00D447D6" w:rsidRDefault="00000000">
            <w:r>
              <w:rPr>
                <w:b/>
                <w:bCs/>
                <w:sz w:val="20"/>
                <w:szCs w:val="20"/>
              </w:rPr>
              <w:t>⚠ Principe clé — Le SIEM ne peut initier aucune connexion vers les machines supervisées : flux de journalisation strictement entrant.</w:t>
            </w:r>
          </w:p>
        </w:tc>
      </w:tr>
    </w:tbl>
    <w:p w14:paraId="1903136A" w14:textId="77777777" w:rsidR="00D447D6" w:rsidRDefault="00000000">
      <w:r>
        <w:br w:type="page"/>
      </w:r>
    </w:p>
    <w:p w14:paraId="260C83CE" w14:textId="7940CEAE" w:rsidR="00D447D6" w:rsidRDefault="00DA14FD">
      <w:pPr>
        <w:pStyle w:val="Titre1"/>
      </w:pPr>
      <w:bookmarkStart w:id="7" w:name="_Toc236130205"/>
      <w:r>
        <w:lastRenderedPageBreak/>
        <w:t>5. Matrice de flux</w:t>
      </w:r>
      <w:bookmarkEnd w:id="7"/>
    </w:p>
    <w:p w14:paraId="49293573" w14:textId="77777777" w:rsidR="00D447D6" w:rsidRDefault="00000000">
      <w:pPr>
        <w:spacing w:after="160"/>
      </w:pPr>
      <w:r>
        <w:t>Pour chaque flux réseau identifié dans l'architecture, le tableau suivant détaille le chemin emprunté et les mesures de sécurisation mises en place, aux niveaux périmétrique (</w:t>
      </w:r>
      <w:proofErr w:type="spellStart"/>
      <w:r>
        <w:t>PfSense</w:t>
      </w:r>
      <w:proofErr w:type="spellEnd"/>
      <w:r>
        <w:t>) et local (</w:t>
      </w:r>
      <w:proofErr w:type="spellStart"/>
      <w:r>
        <w:t>iptables</w:t>
      </w:r>
      <w:proofErr w:type="spellEnd"/>
      <w:r>
        <w:t xml:space="preserve"> sur chaque serveur). Chaque flux est identifié par un code (FL-xx) pour faciliter son référencement dans d'autres documents (audits, tickets, revues de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1300"/>
        <w:gridCol w:w="2260"/>
        <w:gridCol w:w="3200"/>
      </w:tblGrid>
      <w:tr w:rsidR="00D447D6" w14:paraId="5C1AAA14" w14:textId="77777777" w:rsidTr="004263FC">
        <w:trPr>
          <w:tblHeader/>
        </w:trPr>
        <w:tc>
          <w:tcPr>
            <w:tcW w:w="700" w:type="dxa"/>
            <w:shd w:val="clear" w:color="auto" w:fill="1F4E79"/>
            <w:tcMar>
              <w:top w:w="80" w:type="dxa"/>
              <w:left w:w="100" w:type="dxa"/>
              <w:bottom w:w="80" w:type="dxa"/>
              <w:right w:w="100" w:type="dxa"/>
            </w:tcMar>
            <w:vAlign w:val="center"/>
          </w:tcPr>
          <w:p w14:paraId="4CF45EC8" w14:textId="77777777" w:rsidR="00D447D6" w:rsidRDefault="00000000">
            <w:pPr>
              <w:jc w:val="center"/>
            </w:pPr>
            <w:r>
              <w:rPr>
                <w:b/>
                <w:bCs/>
                <w:color w:val="FFFFFF"/>
                <w:sz w:val="19"/>
                <w:szCs w:val="19"/>
              </w:rPr>
              <w:t>ID</w:t>
            </w:r>
          </w:p>
        </w:tc>
        <w:tc>
          <w:tcPr>
            <w:tcW w:w="1900" w:type="dxa"/>
            <w:shd w:val="clear" w:color="auto" w:fill="1F4E79"/>
            <w:tcMar>
              <w:top w:w="80" w:type="dxa"/>
              <w:left w:w="100" w:type="dxa"/>
              <w:bottom w:w="80" w:type="dxa"/>
              <w:right w:w="100" w:type="dxa"/>
            </w:tcMar>
            <w:vAlign w:val="center"/>
          </w:tcPr>
          <w:p w14:paraId="55E50EF9" w14:textId="77777777" w:rsidR="00D447D6" w:rsidRDefault="00000000">
            <w:r>
              <w:rPr>
                <w:b/>
                <w:bCs/>
                <w:color w:val="FFFFFF"/>
                <w:sz w:val="19"/>
                <w:szCs w:val="19"/>
              </w:rPr>
              <w:t>Flux</w:t>
            </w:r>
          </w:p>
        </w:tc>
        <w:tc>
          <w:tcPr>
            <w:tcW w:w="1300" w:type="dxa"/>
            <w:shd w:val="clear" w:color="auto" w:fill="1F4E79"/>
            <w:tcMar>
              <w:top w:w="80" w:type="dxa"/>
              <w:left w:w="100" w:type="dxa"/>
              <w:bottom w:w="80" w:type="dxa"/>
              <w:right w:w="100" w:type="dxa"/>
            </w:tcMar>
            <w:vAlign w:val="center"/>
          </w:tcPr>
          <w:p w14:paraId="4F7C4B03" w14:textId="77777777" w:rsidR="00D447D6" w:rsidRDefault="00000000">
            <w:r>
              <w:rPr>
                <w:b/>
                <w:bCs/>
                <w:color w:val="FFFFFF"/>
                <w:sz w:val="19"/>
                <w:szCs w:val="19"/>
              </w:rPr>
              <w:t>Protocole / Port</w:t>
            </w:r>
          </w:p>
        </w:tc>
        <w:tc>
          <w:tcPr>
            <w:tcW w:w="2260" w:type="dxa"/>
            <w:shd w:val="clear" w:color="auto" w:fill="1F4E79"/>
            <w:tcMar>
              <w:top w:w="80" w:type="dxa"/>
              <w:left w:w="100" w:type="dxa"/>
              <w:bottom w:w="80" w:type="dxa"/>
              <w:right w:w="100" w:type="dxa"/>
            </w:tcMar>
            <w:vAlign w:val="center"/>
          </w:tcPr>
          <w:p w14:paraId="6E5682C9" w14:textId="77777777" w:rsidR="00D447D6" w:rsidRDefault="00000000">
            <w:r>
              <w:rPr>
                <w:b/>
                <w:bCs/>
                <w:color w:val="FFFFFF"/>
                <w:sz w:val="19"/>
                <w:szCs w:val="19"/>
              </w:rPr>
              <w:t>Chemin (source → destination)</w:t>
            </w:r>
          </w:p>
        </w:tc>
        <w:tc>
          <w:tcPr>
            <w:tcW w:w="3200" w:type="dxa"/>
            <w:shd w:val="clear" w:color="auto" w:fill="1F4E79"/>
            <w:tcMar>
              <w:top w:w="80" w:type="dxa"/>
              <w:left w:w="100" w:type="dxa"/>
              <w:bottom w:w="80" w:type="dxa"/>
              <w:right w:w="100" w:type="dxa"/>
            </w:tcMar>
            <w:vAlign w:val="center"/>
          </w:tcPr>
          <w:p w14:paraId="07E44AEA" w14:textId="77777777" w:rsidR="00D447D6" w:rsidRDefault="00000000">
            <w:r>
              <w:rPr>
                <w:b/>
                <w:bCs/>
                <w:color w:val="FFFFFF"/>
                <w:sz w:val="19"/>
                <w:szCs w:val="19"/>
              </w:rPr>
              <w:t>Mesures de sécurisation</w:t>
            </w:r>
          </w:p>
        </w:tc>
      </w:tr>
      <w:tr w:rsidR="00D447D6" w14:paraId="2A5CE25C" w14:textId="77777777" w:rsidTr="004263FC">
        <w:tc>
          <w:tcPr>
            <w:tcW w:w="700" w:type="dxa"/>
            <w:tcMar>
              <w:top w:w="80" w:type="dxa"/>
              <w:left w:w="100" w:type="dxa"/>
              <w:bottom w:w="80" w:type="dxa"/>
              <w:right w:w="100" w:type="dxa"/>
            </w:tcMar>
            <w:vAlign w:val="center"/>
          </w:tcPr>
          <w:p w14:paraId="05FBAE84" w14:textId="77777777" w:rsidR="00D447D6" w:rsidRDefault="00000000">
            <w:pPr>
              <w:jc w:val="center"/>
            </w:pPr>
            <w:r>
              <w:rPr>
                <w:b/>
                <w:bCs/>
                <w:sz w:val="19"/>
                <w:szCs w:val="19"/>
              </w:rPr>
              <w:t>FL-01</w:t>
            </w:r>
          </w:p>
        </w:tc>
        <w:tc>
          <w:tcPr>
            <w:tcW w:w="1900" w:type="dxa"/>
            <w:tcMar>
              <w:top w:w="80" w:type="dxa"/>
              <w:left w:w="100" w:type="dxa"/>
              <w:bottom w:w="80" w:type="dxa"/>
              <w:right w:w="100" w:type="dxa"/>
            </w:tcMar>
            <w:vAlign w:val="center"/>
          </w:tcPr>
          <w:p w14:paraId="2362AAFD" w14:textId="77777777" w:rsidR="00D447D6" w:rsidRDefault="00000000">
            <w:r>
              <w:rPr>
                <w:b/>
                <w:bCs/>
                <w:sz w:val="19"/>
                <w:szCs w:val="19"/>
              </w:rPr>
              <w:t>Accès web utilisateur</w:t>
            </w:r>
          </w:p>
        </w:tc>
        <w:tc>
          <w:tcPr>
            <w:tcW w:w="1300" w:type="dxa"/>
            <w:tcMar>
              <w:top w:w="80" w:type="dxa"/>
              <w:left w:w="100" w:type="dxa"/>
              <w:bottom w:w="80" w:type="dxa"/>
              <w:right w:w="100" w:type="dxa"/>
            </w:tcMar>
            <w:vAlign w:val="center"/>
          </w:tcPr>
          <w:p w14:paraId="1B4665C2" w14:textId="32C83BBF" w:rsidR="00D447D6" w:rsidRDefault="004263FC">
            <w:r>
              <w:rPr>
                <w:sz w:val="19"/>
                <w:szCs w:val="19"/>
              </w:rPr>
              <w:t>443/</w:t>
            </w:r>
            <w:proofErr w:type="spellStart"/>
            <w:r>
              <w:rPr>
                <w:sz w:val="19"/>
                <w:szCs w:val="19"/>
              </w:rPr>
              <w:t>tcp</w:t>
            </w:r>
            <w:proofErr w:type="spellEnd"/>
          </w:p>
        </w:tc>
        <w:tc>
          <w:tcPr>
            <w:tcW w:w="2260" w:type="dxa"/>
            <w:tcMar>
              <w:top w:w="80" w:type="dxa"/>
              <w:left w:w="100" w:type="dxa"/>
              <w:bottom w:w="80" w:type="dxa"/>
              <w:right w:w="100" w:type="dxa"/>
            </w:tcMar>
            <w:vAlign w:val="center"/>
          </w:tcPr>
          <w:p w14:paraId="76BA7FA4" w14:textId="0FFE8AD5" w:rsidR="00D447D6" w:rsidRDefault="00000000">
            <w:r>
              <w:rPr>
                <w:sz w:val="19"/>
                <w:szCs w:val="19"/>
              </w:rPr>
              <w:t xml:space="preserve">Internet → </w:t>
            </w:r>
            <w:proofErr w:type="spellStart"/>
            <w:r>
              <w:rPr>
                <w:sz w:val="19"/>
                <w:szCs w:val="19"/>
              </w:rPr>
              <w:t>PfSense</w:t>
            </w:r>
            <w:proofErr w:type="spellEnd"/>
            <w:r>
              <w:rPr>
                <w:sz w:val="19"/>
                <w:szCs w:val="19"/>
              </w:rPr>
              <w:t xml:space="preserve"> (443/</w:t>
            </w:r>
            <w:proofErr w:type="spellStart"/>
            <w:r>
              <w:rPr>
                <w:sz w:val="19"/>
                <w:szCs w:val="19"/>
              </w:rPr>
              <w:t>tcp</w:t>
            </w:r>
            <w:proofErr w:type="spellEnd"/>
            <w:r>
              <w:rPr>
                <w:sz w:val="19"/>
                <w:szCs w:val="19"/>
              </w:rPr>
              <w:t>) → SRV-1 (</w:t>
            </w:r>
            <w:proofErr w:type="spellStart"/>
            <w:r>
              <w:rPr>
                <w:sz w:val="19"/>
                <w:szCs w:val="19"/>
              </w:rPr>
              <w:t>nginx</w:t>
            </w:r>
            <w:proofErr w:type="spellEnd"/>
            <w:r>
              <w:rPr>
                <w:sz w:val="19"/>
                <w:szCs w:val="19"/>
              </w:rPr>
              <w:t xml:space="preserve"> → proxy 127.0.0.1:5000)</w:t>
            </w:r>
          </w:p>
        </w:tc>
        <w:tc>
          <w:tcPr>
            <w:tcW w:w="3200" w:type="dxa"/>
            <w:tcMar>
              <w:top w:w="80" w:type="dxa"/>
              <w:left w:w="100" w:type="dxa"/>
              <w:bottom w:w="80" w:type="dxa"/>
              <w:right w:w="100" w:type="dxa"/>
            </w:tcMar>
            <w:vAlign w:val="center"/>
          </w:tcPr>
          <w:p w14:paraId="340211EB" w14:textId="114F9677" w:rsidR="00D447D6" w:rsidRDefault="004263FC">
            <w:pPr>
              <w:spacing w:after="40"/>
            </w:pPr>
            <w:proofErr w:type="spellStart"/>
            <w:r>
              <w:rPr>
                <w:sz w:val="19"/>
                <w:szCs w:val="19"/>
              </w:rPr>
              <w:t>PfSense</w:t>
            </w:r>
            <w:proofErr w:type="spellEnd"/>
            <w:r>
              <w:rPr>
                <w:sz w:val="19"/>
                <w:szCs w:val="19"/>
              </w:rPr>
              <w:t xml:space="preserve"> </w:t>
            </w:r>
            <w:proofErr w:type="spellStart"/>
            <w:r>
              <w:rPr>
                <w:sz w:val="19"/>
                <w:szCs w:val="19"/>
              </w:rPr>
              <w:t>pass</w:t>
            </w:r>
            <w:proofErr w:type="spellEnd"/>
            <w:r>
              <w:rPr>
                <w:sz w:val="19"/>
                <w:szCs w:val="19"/>
              </w:rPr>
              <w:t xml:space="preserve"> direct vers SRV-1:443 ; SRV-1 (</w:t>
            </w:r>
            <w:proofErr w:type="spellStart"/>
            <w:r>
              <w:rPr>
                <w:sz w:val="19"/>
                <w:szCs w:val="19"/>
              </w:rPr>
              <w:t>nginx</w:t>
            </w:r>
            <w:proofErr w:type="spellEnd"/>
            <w:r>
              <w:rPr>
                <w:sz w:val="19"/>
                <w:szCs w:val="19"/>
              </w:rPr>
              <w:t>) reçoit le TLS et proxy en interne vers 127.0.0.1:5000</w:t>
            </w:r>
          </w:p>
          <w:p w14:paraId="4E7645B4" w14:textId="77777777" w:rsidR="00D447D6" w:rsidRDefault="00000000">
            <w:pPr>
              <w:spacing w:after="40"/>
            </w:pPr>
            <w:r>
              <w:rPr>
                <w:sz w:val="19"/>
                <w:szCs w:val="19"/>
              </w:rPr>
              <w:t>Validation applicative des champs avant écriture ; accès public assumé.</w:t>
            </w:r>
          </w:p>
        </w:tc>
      </w:tr>
      <w:tr w:rsidR="004263FC" w14:paraId="4C3D9DFC" w14:textId="77777777" w:rsidTr="004263FC">
        <w:tc>
          <w:tcPr>
            <w:tcW w:w="700" w:type="dxa"/>
            <w:tcMar>
              <w:top w:w="80" w:type="dxa"/>
              <w:left w:w="100" w:type="dxa"/>
              <w:bottom w:w="80" w:type="dxa"/>
              <w:right w:w="100" w:type="dxa"/>
            </w:tcMar>
            <w:vAlign w:val="center"/>
          </w:tcPr>
          <w:p w14:paraId="57BB7C96" w14:textId="7ACD317C" w:rsidR="004263FC" w:rsidRDefault="004263FC">
            <w:pPr>
              <w:jc w:val="center"/>
              <w:rPr>
                <w:b/>
                <w:bCs/>
                <w:sz w:val="19"/>
                <w:szCs w:val="19"/>
              </w:rPr>
            </w:pPr>
            <w:r>
              <w:rPr>
                <w:b/>
                <w:bCs/>
                <w:sz w:val="19"/>
                <w:szCs w:val="19"/>
              </w:rPr>
              <w:t>FL-01bis</w:t>
            </w:r>
          </w:p>
        </w:tc>
        <w:tc>
          <w:tcPr>
            <w:tcW w:w="1900" w:type="dxa"/>
            <w:tcMar>
              <w:top w:w="80" w:type="dxa"/>
              <w:left w:w="100" w:type="dxa"/>
              <w:bottom w:w="80" w:type="dxa"/>
              <w:right w:w="100" w:type="dxa"/>
            </w:tcMar>
            <w:vAlign w:val="center"/>
          </w:tcPr>
          <w:p w14:paraId="4EA77469" w14:textId="6F91A55C" w:rsidR="004263FC" w:rsidRDefault="004263FC">
            <w:pPr>
              <w:rPr>
                <w:b/>
                <w:bCs/>
                <w:sz w:val="19"/>
                <w:szCs w:val="19"/>
              </w:rPr>
            </w:pPr>
            <w:r>
              <w:rPr>
                <w:b/>
                <w:bCs/>
                <w:sz w:val="19"/>
                <w:szCs w:val="19"/>
              </w:rPr>
              <w:t>Redirection HTTP vers HTTPS</w:t>
            </w:r>
          </w:p>
        </w:tc>
        <w:tc>
          <w:tcPr>
            <w:tcW w:w="1300" w:type="dxa"/>
            <w:tcMar>
              <w:top w:w="80" w:type="dxa"/>
              <w:left w:w="100" w:type="dxa"/>
              <w:bottom w:w="80" w:type="dxa"/>
              <w:right w:w="100" w:type="dxa"/>
            </w:tcMar>
            <w:vAlign w:val="center"/>
          </w:tcPr>
          <w:p w14:paraId="0929CBE5" w14:textId="6334E7E4" w:rsidR="004263FC" w:rsidRDefault="004263FC">
            <w:pPr>
              <w:rPr>
                <w:sz w:val="19"/>
                <w:szCs w:val="19"/>
              </w:rPr>
            </w:pPr>
            <w:r>
              <w:rPr>
                <w:sz w:val="19"/>
                <w:szCs w:val="19"/>
              </w:rPr>
              <w:t>80/</w:t>
            </w:r>
            <w:proofErr w:type="spellStart"/>
            <w:r>
              <w:rPr>
                <w:sz w:val="19"/>
                <w:szCs w:val="19"/>
              </w:rPr>
              <w:t>tcp</w:t>
            </w:r>
            <w:proofErr w:type="spellEnd"/>
          </w:p>
        </w:tc>
        <w:tc>
          <w:tcPr>
            <w:tcW w:w="2260" w:type="dxa"/>
            <w:tcMar>
              <w:top w:w="80" w:type="dxa"/>
              <w:left w:w="100" w:type="dxa"/>
              <w:bottom w:w="80" w:type="dxa"/>
              <w:right w:w="100" w:type="dxa"/>
            </w:tcMar>
            <w:vAlign w:val="center"/>
          </w:tcPr>
          <w:p w14:paraId="237FCB50" w14:textId="3D74EFB3" w:rsidR="004263FC" w:rsidRDefault="004263FC">
            <w:pPr>
              <w:rPr>
                <w:sz w:val="19"/>
                <w:szCs w:val="19"/>
              </w:rPr>
            </w:pPr>
            <w:r>
              <w:rPr>
                <w:sz w:val="19"/>
                <w:szCs w:val="19"/>
              </w:rPr>
              <w:t xml:space="preserve">Internet → </w:t>
            </w:r>
            <w:proofErr w:type="spellStart"/>
            <w:r>
              <w:rPr>
                <w:sz w:val="19"/>
                <w:szCs w:val="19"/>
              </w:rPr>
              <w:t>PfSense</w:t>
            </w:r>
            <w:proofErr w:type="spellEnd"/>
            <w:r>
              <w:rPr>
                <w:sz w:val="19"/>
                <w:szCs w:val="19"/>
              </w:rPr>
              <w:t xml:space="preserve"> (80/</w:t>
            </w:r>
            <w:proofErr w:type="spellStart"/>
            <w:r>
              <w:rPr>
                <w:sz w:val="19"/>
                <w:szCs w:val="19"/>
              </w:rPr>
              <w:t>tcp</w:t>
            </w:r>
            <w:proofErr w:type="spellEnd"/>
            <w:r>
              <w:rPr>
                <w:sz w:val="19"/>
                <w:szCs w:val="19"/>
              </w:rPr>
              <w:t>) → SRV-1 (</w:t>
            </w:r>
            <w:proofErr w:type="spellStart"/>
            <w:r>
              <w:rPr>
                <w:sz w:val="19"/>
                <w:szCs w:val="19"/>
              </w:rPr>
              <w:t>nginx</w:t>
            </w:r>
            <w:proofErr w:type="spellEnd"/>
            <w:r>
              <w:rPr>
                <w:sz w:val="19"/>
                <w:szCs w:val="19"/>
              </w:rPr>
              <w:t xml:space="preserve">, </w:t>
            </w:r>
            <w:proofErr w:type="spellStart"/>
            <w:r>
              <w:rPr>
                <w:sz w:val="19"/>
                <w:szCs w:val="19"/>
              </w:rPr>
              <w:t>redirect</w:t>
            </w:r>
            <w:proofErr w:type="spellEnd"/>
            <w:r>
              <w:rPr>
                <w:sz w:val="19"/>
                <w:szCs w:val="19"/>
              </w:rPr>
              <w:t xml:space="preserve"> 301 vers 443)</w:t>
            </w:r>
          </w:p>
        </w:tc>
        <w:tc>
          <w:tcPr>
            <w:tcW w:w="3200" w:type="dxa"/>
            <w:tcMar>
              <w:top w:w="80" w:type="dxa"/>
              <w:left w:w="100" w:type="dxa"/>
              <w:bottom w:w="80" w:type="dxa"/>
              <w:right w:w="100" w:type="dxa"/>
            </w:tcMar>
            <w:vAlign w:val="center"/>
          </w:tcPr>
          <w:p w14:paraId="78A77B99" w14:textId="342E15D5" w:rsidR="004263FC" w:rsidRPr="004263FC" w:rsidRDefault="004263FC">
            <w:pPr>
              <w:spacing w:after="40"/>
              <w:rPr>
                <w:sz w:val="19"/>
                <w:szCs w:val="19"/>
              </w:rPr>
            </w:pPr>
            <w:proofErr w:type="spellStart"/>
            <w:r>
              <w:rPr>
                <w:sz w:val="19"/>
                <w:szCs w:val="19"/>
              </w:rPr>
              <w:t>PfSense</w:t>
            </w:r>
            <w:proofErr w:type="spellEnd"/>
            <w:r>
              <w:rPr>
                <w:sz w:val="19"/>
                <w:szCs w:val="19"/>
              </w:rPr>
              <w:t xml:space="preserve"> autorise 80/</w:t>
            </w:r>
            <w:proofErr w:type="spellStart"/>
            <w:r>
              <w:rPr>
                <w:sz w:val="19"/>
                <w:szCs w:val="19"/>
              </w:rPr>
              <w:t>tcp</w:t>
            </w:r>
            <w:proofErr w:type="spellEnd"/>
            <w:r>
              <w:rPr>
                <w:sz w:val="19"/>
                <w:szCs w:val="19"/>
              </w:rPr>
              <w:t xml:space="preserve"> vers SRV-1 uniquement pour le </w:t>
            </w:r>
            <w:proofErr w:type="spellStart"/>
            <w:r>
              <w:rPr>
                <w:sz w:val="19"/>
                <w:szCs w:val="19"/>
              </w:rPr>
              <w:t>redirect</w:t>
            </w:r>
            <w:proofErr w:type="spellEnd"/>
            <w:r>
              <w:rPr>
                <w:sz w:val="19"/>
                <w:szCs w:val="19"/>
              </w:rPr>
              <w:t xml:space="preserve"> ; </w:t>
            </w:r>
            <w:proofErr w:type="spellStart"/>
            <w:r>
              <w:rPr>
                <w:sz w:val="19"/>
                <w:szCs w:val="19"/>
              </w:rPr>
              <w:t>nginx</w:t>
            </w:r>
            <w:proofErr w:type="spellEnd"/>
            <w:r>
              <w:rPr>
                <w:sz w:val="19"/>
                <w:szCs w:val="19"/>
              </w:rPr>
              <w:t xml:space="preserve"> ne sert aucun contenu applicatif sur ce port, renvoie 301 systématiquement vers https://. Certificat X509 signé par CA interne dédiée (séparée de la CA SSH), SAN incluant IP et FQDN, validité 397 jours.</w:t>
            </w:r>
          </w:p>
        </w:tc>
      </w:tr>
      <w:tr w:rsidR="00D447D6" w14:paraId="224ED59A" w14:textId="77777777" w:rsidTr="004263FC">
        <w:tc>
          <w:tcPr>
            <w:tcW w:w="700" w:type="dxa"/>
            <w:tcMar>
              <w:top w:w="80" w:type="dxa"/>
              <w:left w:w="100" w:type="dxa"/>
              <w:bottom w:w="80" w:type="dxa"/>
              <w:right w:w="100" w:type="dxa"/>
            </w:tcMar>
            <w:vAlign w:val="center"/>
          </w:tcPr>
          <w:p w14:paraId="4864A057" w14:textId="77777777" w:rsidR="00D447D6" w:rsidRDefault="00000000">
            <w:pPr>
              <w:jc w:val="center"/>
            </w:pPr>
            <w:r>
              <w:rPr>
                <w:b/>
                <w:bCs/>
                <w:sz w:val="19"/>
                <w:szCs w:val="19"/>
              </w:rPr>
              <w:t>FL-02</w:t>
            </w:r>
          </w:p>
        </w:tc>
        <w:tc>
          <w:tcPr>
            <w:tcW w:w="1900" w:type="dxa"/>
            <w:tcMar>
              <w:top w:w="80" w:type="dxa"/>
              <w:left w:w="100" w:type="dxa"/>
              <w:bottom w:w="80" w:type="dxa"/>
              <w:right w:w="100" w:type="dxa"/>
            </w:tcMar>
            <w:vAlign w:val="center"/>
          </w:tcPr>
          <w:p w14:paraId="5767F6EE" w14:textId="77777777" w:rsidR="00D447D6" w:rsidRDefault="00000000">
            <w:r>
              <w:rPr>
                <w:b/>
                <w:bCs/>
                <w:sz w:val="19"/>
                <w:szCs w:val="19"/>
              </w:rPr>
              <w:t>Accès administrateur au bastion</w:t>
            </w:r>
          </w:p>
        </w:tc>
        <w:tc>
          <w:tcPr>
            <w:tcW w:w="1300" w:type="dxa"/>
            <w:tcMar>
              <w:top w:w="80" w:type="dxa"/>
              <w:left w:w="100" w:type="dxa"/>
              <w:bottom w:w="80" w:type="dxa"/>
              <w:right w:w="100" w:type="dxa"/>
            </w:tcMar>
            <w:vAlign w:val="center"/>
          </w:tcPr>
          <w:p w14:paraId="4A78F3AF" w14:textId="77777777" w:rsidR="00D447D6" w:rsidRDefault="00000000">
            <w:r>
              <w:rPr>
                <w:sz w:val="19"/>
                <w:szCs w:val="19"/>
              </w:rPr>
              <w:t>2222/</w:t>
            </w:r>
            <w:proofErr w:type="spellStart"/>
            <w:r>
              <w:rPr>
                <w:sz w:val="19"/>
                <w:szCs w:val="19"/>
              </w:rPr>
              <w:t>tcp</w:t>
            </w:r>
            <w:proofErr w:type="spellEnd"/>
          </w:p>
        </w:tc>
        <w:tc>
          <w:tcPr>
            <w:tcW w:w="2260" w:type="dxa"/>
            <w:tcMar>
              <w:top w:w="80" w:type="dxa"/>
              <w:left w:w="100" w:type="dxa"/>
              <w:bottom w:w="80" w:type="dxa"/>
              <w:right w:w="100" w:type="dxa"/>
            </w:tcMar>
            <w:vAlign w:val="center"/>
          </w:tcPr>
          <w:p w14:paraId="1D2957A5" w14:textId="77777777" w:rsidR="00D447D6" w:rsidRDefault="00000000">
            <w:r>
              <w:rPr>
                <w:sz w:val="19"/>
                <w:szCs w:val="19"/>
              </w:rPr>
              <w:t xml:space="preserve">Réseau d'administration → </w:t>
            </w:r>
            <w:proofErr w:type="spellStart"/>
            <w:r>
              <w:rPr>
                <w:sz w:val="19"/>
                <w:szCs w:val="19"/>
              </w:rPr>
              <w:t>PfSense</w:t>
            </w:r>
            <w:proofErr w:type="spellEnd"/>
            <w:r>
              <w:rPr>
                <w:sz w:val="19"/>
                <w:szCs w:val="19"/>
              </w:rPr>
              <w:t xml:space="preserve"> (2222/</w:t>
            </w:r>
            <w:proofErr w:type="spellStart"/>
            <w:r>
              <w:rPr>
                <w:sz w:val="19"/>
                <w:szCs w:val="19"/>
              </w:rPr>
              <w:t>tcp</w:t>
            </w:r>
            <w:proofErr w:type="spellEnd"/>
            <w:r>
              <w:rPr>
                <w:sz w:val="19"/>
                <w:szCs w:val="19"/>
              </w:rPr>
              <w:t>) → Bastion</w:t>
            </w:r>
          </w:p>
        </w:tc>
        <w:tc>
          <w:tcPr>
            <w:tcW w:w="3200" w:type="dxa"/>
            <w:tcMar>
              <w:top w:w="80" w:type="dxa"/>
              <w:left w:w="100" w:type="dxa"/>
              <w:bottom w:w="80" w:type="dxa"/>
              <w:right w:w="100" w:type="dxa"/>
            </w:tcMar>
            <w:vAlign w:val="center"/>
          </w:tcPr>
          <w:p w14:paraId="56140AF7" w14:textId="77777777" w:rsidR="00D447D6" w:rsidRDefault="00000000">
            <w:pPr>
              <w:spacing w:after="40"/>
            </w:pPr>
            <w:proofErr w:type="spellStart"/>
            <w:r>
              <w:rPr>
                <w:sz w:val="19"/>
                <w:szCs w:val="19"/>
              </w:rPr>
              <w:t>PfSense</w:t>
            </w:r>
            <w:proofErr w:type="spellEnd"/>
            <w:r>
              <w:rPr>
                <w:sz w:val="19"/>
                <w:szCs w:val="19"/>
              </w:rPr>
              <w:t xml:space="preserve"> : port 2222 ouvert uniquement depuis le réseau admin, vers le bastion.</w:t>
            </w:r>
          </w:p>
          <w:p w14:paraId="59F57E25" w14:textId="77777777" w:rsidR="00D447D6" w:rsidRDefault="00000000">
            <w:pPr>
              <w:spacing w:after="40"/>
            </w:pPr>
            <w:r>
              <w:rPr>
                <w:sz w:val="19"/>
                <w:szCs w:val="19"/>
              </w:rPr>
              <w:t>Le changement de port réduit le bruit des scans automatisés mais n'est pas une mesure de sécurité en soi (simple obscurcissement).</w:t>
            </w:r>
          </w:p>
          <w:p w14:paraId="39F5382B" w14:textId="77777777" w:rsidR="00D447D6" w:rsidRDefault="00000000">
            <w:pPr>
              <w:spacing w:after="40"/>
            </w:pPr>
            <w:r>
              <w:rPr>
                <w:sz w:val="19"/>
                <w:szCs w:val="19"/>
              </w:rPr>
              <w:t>La protection réelle repose sur l'authentification par clé publique et la journalisation des sessions.</w:t>
            </w:r>
          </w:p>
          <w:p w14:paraId="0F78A496" w14:textId="77777777" w:rsidR="00D447D6" w:rsidRDefault="00000000">
            <w:pPr>
              <w:spacing w:after="40"/>
            </w:pPr>
            <w:r>
              <w:rPr>
                <w:sz w:val="19"/>
                <w:szCs w:val="19"/>
              </w:rPr>
              <w:t>Aucun serveur interne joignable directement depuis l'extérieur.</w:t>
            </w:r>
          </w:p>
        </w:tc>
      </w:tr>
      <w:tr w:rsidR="00D447D6" w14:paraId="5B87306C" w14:textId="77777777" w:rsidTr="004263FC">
        <w:tc>
          <w:tcPr>
            <w:tcW w:w="700" w:type="dxa"/>
            <w:tcMar>
              <w:top w:w="80" w:type="dxa"/>
              <w:left w:w="100" w:type="dxa"/>
              <w:bottom w:w="80" w:type="dxa"/>
              <w:right w:w="100" w:type="dxa"/>
            </w:tcMar>
            <w:vAlign w:val="center"/>
          </w:tcPr>
          <w:p w14:paraId="456536E2" w14:textId="77777777" w:rsidR="00D447D6" w:rsidRDefault="00000000">
            <w:pPr>
              <w:jc w:val="center"/>
            </w:pPr>
            <w:r>
              <w:rPr>
                <w:b/>
                <w:bCs/>
                <w:sz w:val="19"/>
                <w:szCs w:val="19"/>
              </w:rPr>
              <w:t>FL-03</w:t>
            </w:r>
          </w:p>
        </w:tc>
        <w:tc>
          <w:tcPr>
            <w:tcW w:w="1900" w:type="dxa"/>
            <w:tcMar>
              <w:top w:w="80" w:type="dxa"/>
              <w:left w:w="100" w:type="dxa"/>
              <w:bottom w:w="80" w:type="dxa"/>
              <w:right w:w="100" w:type="dxa"/>
            </w:tcMar>
            <w:vAlign w:val="center"/>
          </w:tcPr>
          <w:p w14:paraId="56F74FF2" w14:textId="77777777" w:rsidR="00D447D6" w:rsidRDefault="00000000">
            <w:r>
              <w:rPr>
                <w:b/>
                <w:bCs/>
                <w:sz w:val="19"/>
                <w:szCs w:val="19"/>
              </w:rPr>
              <w:t>Rebond bastion → SRV-1 / SRV-2</w:t>
            </w:r>
          </w:p>
        </w:tc>
        <w:tc>
          <w:tcPr>
            <w:tcW w:w="1300" w:type="dxa"/>
            <w:tcMar>
              <w:top w:w="80" w:type="dxa"/>
              <w:left w:w="100" w:type="dxa"/>
              <w:bottom w:w="80" w:type="dxa"/>
              <w:right w:w="100" w:type="dxa"/>
            </w:tcMar>
            <w:vAlign w:val="center"/>
          </w:tcPr>
          <w:p w14:paraId="68C2DA91" w14:textId="77777777" w:rsidR="00D447D6" w:rsidRDefault="00000000">
            <w:r>
              <w:rPr>
                <w:sz w:val="19"/>
                <w:szCs w:val="19"/>
              </w:rPr>
              <w:t>2222/</w:t>
            </w:r>
            <w:proofErr w:type="spellStart"/>
            <w:r>
              <w:rPr>
                <w:sz w:val="19"/>
                <w:szCs w:val="19"/>
              </w:rPr>
              <w:t>tcp</w:t>
            </w:r>
            <w:proofErr w:type="spellEnd"/>
          </w:p>
        </w:tc>
        <w:tc>
          <w:tcPr>
            <w:tcW w:w="2260" w:type="dxa"/>
            <w:tcMar>
              <w:top w:w="80" w:type="dxa"/>
              <w:left w:w="100" w:type="dxa"/>
              <w:bottom w:w="80" w:type="dxa"/>
              <w:right w:w="100" w:type="dxa"/>
            </w:tcMar>
            <w:vAlign w:val="center"/>
          </w:tcPr>
          <w:p w14:paraId="1647DCD9" w14:textId="77777777" w:rsidR="00D447D6" w:rsidRDefault="00000000">
            <w:r>
              <w:rPr>
                <w:sz w:val="19"/>
                <w:szCs w:val="19"/>
              </w:rPr>
              <w:t xml:space="preserve">Bastion → </w:t>
            </w:r>
            <w:proofErr w:type="spellStart"/>
            <w:r>
              <w:rPr>
                <w:sz w:val="19"/>
                <w:szCs w:val="19"/>
              </w:rPr>
              <w:t>PfSense</w:t>
            </w:r>
            <w:proofErr w:type="spellEnd"/>
            <w:r>
              <w:rPr>
                <w:sz w:val="19"/>
                <w:szCs w:val="19"/>
              </w:rPr>
              <w:t xml:space="preserve"> (relai) → SRV-1 ou SRV-2</w:t>
            </w:r>
          </w:p>
        </w:tc>
        <w:tc>
          <w:tcPr>
            <w:tcW w:w="3200" w:type="dxa"/>
            <w:tcMar>
              <w:top w:w="80" w:type="dxa"/>
              <w:left w:w="100" w:type="dxa"/>
              <w:bottom w:w="80" w:type="dxa"/>
              <w:right w:w="100" w:type="dxa"/>
            </w:tcMar>
            <w:vAlign w:val="center"/>
          </w:tcPr>
          <w:p w14:paraId="5DF02116" w14:textId="77777777" w:rsidR="00D447D6" w:rsidRDefault="00000000">
            <w:pPr>
              <w:spacing w:after="40"/>
            </w:pPr>
            <w:r>
              <w:rPr>
                <w:sz w:val="19"/>
                <w:szCs w:val="19"/>
              </w:rPr>
              <w:t xml:space="preserve">Rebond systématiquement relayé par </w:t>
            </w:r>
            <w:proofErr w:type="spellStart"/>
            <w:r>
              <w:rPr>
                <w:sz w:val="19"/>
                <w:szCs w:val="19"/>
              </w:rPr>
              <w:t>PfSense</w:t>
            </w:r>
            <w:proofErr w:type="spellEnd"/>
            <w:r>
              <w:rPr>
                <w:sz w:val="19"/>
                <w:szCs w:val="19"/>
              </w:rPr>
              <w:t xml:space="preserve"> (aucun lien direct entre segments).</w:t>
            </w:r>
          </w:p>
          <w:p w14:paraId="603221EE" w14:textId="77777777" w:rsidR="00D447D6" w:rsidRDefault="00000000">
            <w:pPr>
              <w:spacing w:after="40"/>
            </w:pPr>
            <w:proofErr w:type="spellStart"/>
            <w:r>
              <w:rPr>
                <w:sz w:val="19"/>
                <w:szCs w:val="19"/>
              </w:rPr>
              <w:t>iptables</w:t>
            </w:r>
            <w:proofErr w:type="spellEnd"/>
            <w:r>
              <w:rPr>
                <w:sz w:val="19"/>
                <w:szCs w:val="19"/>
              </w:rPr>
              <w:t xml:space="preserve"> local : n'accepte 2222/</w:t>
            </w:r>
            <w:proofErr w:type="spellStart"/>
            <w:r>
              <w:rPr>
                <w:sz w:val="19"/>
                <w:szCs w:val="19"/>
              </w:rPr>
              <w:t>tcp</w:t>
            </w:r>
            <w:proofErr w:type="spellEnd"/>
            <w:r>
              <w:rPr>
                <w:sz w:val="19"/>
                <w:szCs w:val="19"/>
              </w:rPr>
              <w:t xml:space="preserve"> que depuis l'IP du bastion.</w:t>
            </w:r>
          </w:p>
          <w:p w14:paraId="7E4C9899" w14:textId="77777777" w:rsidR="00D447D6" w:rsidRDefault="00000000">
            <w:pPr>
              <w:spacing w:after="40"/>
            </w:pPr>
            <w:r>
              <w:rPr>
                <w:sz w:val="19"/>
                <w:szCs w:val="19"/>
              </w:rPr>
              <w:t>Usage : logs, état des services, actions correctives.</w:t>
            </w:r>
          </w:p>
        </w:tc>
      </w:tr>
      <w:tr w:rsidR="00D447D6" w14:paraId="4E63440C" w14:textId="77777777" w:rsidTr="004263FC">
        <w:tc>
          <w:tcPr>
            <w:tcW w:w="700" w:type="dxa"/>
            <w:tcMar>
              <w:top w:w="80" w:type="dxa"/>
              <w:left w:w="100" w:type="dxa"/>
              <w:bottom w:w="80" w:type="dxa"/>
              <w:right w:w="100" w:type="dxa"/>
            </w:tcMar>
            <w:vAlign w:val="center"/>
          </w:tcPr>
          <w:p w14:paraId="6C598F66" w14:textId="77777777" w:rsidR="00D447D6" w:rsidRDefault="00000000">
            <w:pPr>
              <w:jc w:val="center"/>
            </w:pPr>
            <w:r>
              <w:rPr>
                <w:b/>
                <w:bCs/>
                <w:sz w:val="19"/>
                <w:szCs w:val="19"/>
              </w:rPr>
              <w:t>FL-04</w:t>
            </w:r>
          </w:p>
        </w:tc>
        <w:tc>
          <w:tcPr>
            <w:tcW w:w="1900" w:type="dxa"/>
            <w:tcMar>
              <w:top w:w="80" w:type="dxa"/>
              <w:left w:w="100" w:type="dxa"/>
              <w:bottom w:w="80" w:type="dxa"/>
              <w:right w:w="100" w:type="dxa"/>
            </w:tcMar>
            <w:vAlign w:val="center"/>
          </w:tcPr>
          <w:p w14:paraId="42DF3909" w14:textId="77777777" w:rsidR="00D447D6" w:rsidRDefault="00000000">
            <w:r>
              <w:rPr>
                <w:b/>
                <w:bCs/>
                <w:sz w:val="19"/>
                <w:szCs w:val="19"/>
              </w:rPr>
              <w:t>Flux applicatif SRV-1 → SRV-2</w:t>
            </w:r>
          </w:p>
        </w:tc>
        <w:tc>
          <w:tcPr>
            <w:tcW w:w="1300" w:type="dxa"/>
            <w:tcMar>
              <w:top w:w="80" w:type="dxa"/>
              <w:left w:w="100" w:type="dxa"/>
              <w:bottom w:w="80" w:type="dxa"/>
              <w:right w:w="100" w:type="dxa"/>
            </w:tcMar>
            <w:vAlign w:val="center"/>
          </w:tcPr>
          <w:p w14:paraId="089BE737" w14:textId="77777777" w:rsidR="00D447D6" w:rsidRDefault="00000000">
            <w:r>
              <w:rPr>
                <w:sz w:val="19"/>
                <w:szCs w:val="19"/>
              </w:rPr>
              <w:t>5432/</w:t>
            </w:r>
            <w:proofErr w:type="spellStart"/>
            <w:r>
              <w:rPr>
                <w:sz w:val="19"/>
                <w:szCs w:val="19"/>
              </w:rPr>
              <w:t>tcp</w:t>
            </w:r>
            <w:proofErr w:type="spellEnd"/>
            <w:r>
              <w:rPr>
                <w:sz w:val="19"/>
                <w:szCs w:val="19"/>
              </w:rPr>
              <w:t xml:space="preserve"> (PostgreSQL)</w:t>
            </w:r>
          </w:p>
        </w:tc>
        <w:tc>
          <w:tcPr>
            <w:tcW w:w="2260" w:type="dxa"/>
            <w:tcMar>
              <w:top w:w="80" w:type="dxa"/>
              <w:left w:w="100" w:type="dxa"/>
              <w:bottom w:w="80" w:type="dxa"/>
              <w:right w:w="100" w:type="dxa"/>
            </w:tcMar>
            <w:vAlign w:val="center"/>
          </w:tcPr>
          <w:p w14:paraId="6001CD65" w14:textId="77777777" w:rsidR="00D447D6" w:rsidRDefault="00000000">
            <w:r>
              <w:rPr>
                <w:sz w:val="19"/>
                <w:szCs w:val="19"/>
              </w:rPr>
              <w:t xml:space="preserve">SRV-1 → </w:t>
            </w:r>
            <w:proofErr w:type="spellStart"/>
            <w:r>
              <w:rPr>
                <w:sz w:val="19"/>
                <w:szCs w:val="19"/>
              </w:rPr>
              <w:t>PfSense</w:t>
            </w:r>
            <w:proofErr w:type="spellEnd"/>
            <w:r>
              <w:rPr>
                <w:sz w:val="19"/>
                <w:szCs w:val="19"/>
              </w:rPr>
              <w:t xml:space="preserve"> (relai) → SRV-2</w:t>
            </w:r>
          </w:p>
        </w:tc>
        <w:tc>
          <w:tcPr>
            <w:tcW w:w="3200" w:type="dxa"/>
            <w:tcMar>
              <w:top w:w="80" w:type="dxa"/>
              <w:left w:w="100" w:type="dxa"/>
              <w:bottom w:w="80" w:type="dxa"/>
              <w:right w:w="100" w:type="dxa"/>
            </w:tcMar>
            <w:vAlign w:val="center"/>
          </w:tcPr>
          <w:p w14:paraId="4031802C" w14:textId="77777777" w:rsidR="00D447D6" w:rsidRDefault="00000000">
            <w:pPr>
              <w:spacing w:after="40"/>
            </w:pPr>
            <w:r>
              <w:rPr>
                <w:sz w:val="19"/>
                <w:szCs w:val="19"/>
              </w:rPr>
              <w:t xml:space="preserve">Toute requête SQL transite par </w:t>
            </w:r>
            <w:proofErr w:type="spellStart"/>
            <w:r>
              <w:rPr>
                <w:sz w:val="19"/>
                <w:szCs w:val="19"/>
              </w:rPr>
              <w:t>PfSense</w:t>
            </w:r>
            <w:proofErr w:type="spellEnd"/>
            <w:r>
              <w:rPr>
                <w:sz w:val="19"/>
                <w:szCs w:val="19"/>
              </w:rPr>
              <w:t xml:space="preserve"> : aucun lien réseau direct entre SRV-1 et SRV-2 (sécurité en profondeur).</w:t>
            </w:r>
          </w:p>
          <w:p w14:paraId="460EE1B7" w14:textId="77777777" w:rsidR="00D447D6" w:rsidRDefault="00000000">
            <w:pPr>
              <w:spacing w:after="40"/>
            </w:pPr>
            <w:r>
              <w:rPr>
                <w:sz w:val="19"/>
                <w:szCs w:val="19"/>
              </w:rPr>
              <w:t xml:space="preserve">ACL </w:t>
            </w:r>
            <w:proofErr w:type="spellStart"/>
            <w:r>
              <w:rPr>
                <w:sz w:val="19"/>
                <w:szCs w:val="19"/>
              </w:rPr>
              <w:t>PfSense</w:t>
            </w:r>
            <w:proofErr w:type="spellEnd"/>
            <w:r>
              <w:rPr>
                <w:sz w:val="19"/>
                <w:szCs w:val="19"/>
              </w:rPr>
              <w:t xml:space="preserve"> + </w:t>
            </w:r>
            <w:proofErr w:type="spellStart"/>
            <w:r>
              <w:rPr>
                <w:sz w:val="19"/>
                <w:szCs w:val="19"/>
              </w:rPr>
              <w:t>iptables</w:t>
            </w:r>
            <w:proofErr w:type="spellEnd"/>
            <w:r>
              <w:rPr>
                <w:sz w:val="19"/>
                <w:szCs w:val="19"/>
              </w:rPr>
              <w:t xml:space="preserve"> SRV-2 : n'acceptent 5432/</w:t>
            </w:r>
            <w:proofErr w:type="spellStart"/>
            <w:r>
              <w:rPr>
                <w:sz w:val="19"/>
                <w:szCs w:val="19"/>
              </w:rPr>
              <w:t>tcp</w:t>
            </w:r>
            <w:proofErr w:type="spellEnd"/>
            <w:r>
              <w:rPr>
                <w:sz w:val="19"/>
                <w:szCs w:val="19"/>
              </w:rPr>
              <w:t xml:space="preserve"> que depuis SRV-1.</w:t>
            </w:r>
          </w:p>
          <w:p w14:paraId="43F5F921" w14:textId="77777777" w:rsidR="00D447D6" w:rsidRDefault="00000000">
            <w:pPr>
              <w:spacing w:after="40"/>
            </w:pPr>
            <w:r>
              <w:rPr>
                <w:sz w:val="19"/>
                <w:szCs w:val="19"/>
              </w:rPr>
              <w:t>Identifiants applicatifs dédiés, non exposés dans le code.</w:t>
            </w:r>
          </w:p>
          <w:p w14:paraId="4000001A" w14:textId="77777777" w:rsidR="00D447D6" w:rsidRDefault="00000000">
            <w:pPr>
              <w:spacing w:after="40"/>
            </w:pPr>
            <w:r>
              <w:rPr>
                <w:sz w:val="19"/>
                <w:szCs w:val="19"/>
              </w:rPr>
              <w:t xml:space="preserve">fail2ban actif sur SRV-2 : bannissement automatique des </w:t>
            </w:r>
            <w:r>
              <w:rPr>
                <w:sz w:val="19"/>
                <w:szCs w:val="19"/>
              </w:rPr>
              <w:lastRenderedPageBreak/>
              <w:t>sources après tentatives de connexion répétées ou invalides sur 5432/</w:t>
            </w:r>
            <w:proofErr w:type="spellStart"/>
            <w:r>
              <w:rPr>
                <w:sz w:val="19"/>
                <w:szCs w:val="19"/>
              </w:rPr>
              <w:t>tcp</w:t>
            </w:r>
            <w:proofErr w:type="spellEnd"/>
            <w:r>
              <w:rPr>
                <w:sz w:val="19"/>
                <w:szCs w:val="19"/>
              </w:rPr>
              <w:t>.</w:t>
            </w:r>
          </w:p>
        </w:tc>
      </w:tr>
      <w:tr w:rsidR="00D447D6" w14:paraId="62B7F67D" w14:textId="77777777" w:rsidTr="004263FC">
        <w:tc>
          <w:tcPr>
            <w:tcW w:w="700" w:type="dxa"/>
            <w:tcMar>
              <w:top w:w="80" w:type="dxa"/>
              <w:left w:w="100" w:type="dxa"/>
              <w:bottom w:w="80" w:type="dxa"/>
              <w:right w:w="100" w:type="dxa"/>
            </w:tcMar>
            <w:vAlign w:val="center"/>
          </w:tcPr>
          <w:p w14:paraId="51367120" w14:textId="77777777" w:rsidR="00D447D6" w:rsidRDefault="00000000">
            <w:pPr>
              <w:jc w:val="center"/>
            </w:pPr>
            <w:r>
              <w:rPr>
                <w:b/>
                <w:bCs/>
                <w:sz w:val="19"/>
                <w:szCs w:val="19"/>
              </w:rPr>
              <w:lastRenderedPageBreak/>
              <w:t>FL-05</w:t>
            </w:r>
          </w:p>
        </w:tc>
        <w:tc>
          <w:tcPr>
            <w:tcW w:w="1900" w:type="dxa"/>
            <w:tcMar>
              <w:top w:w="80" w:type="dxa"/>
              <w:left w:w="100" w:type="dxa"/>
              <w:bottom w:w="80" w:type="dxa"/>
              <w:right w:w="100" w:type="dxa"/>
            </w:tcMar>
            <w:vAlign w:val="center"/>
          </w:tcPr>
          <w:p w14:paraId="309EC0A0" w14:textId="77777777" w:rsidR="00D447D6" w:rsidRDefault="00000000">
            <w:r>
              <w:rPr>
                <w:b/>
                <w:bCs/>
                <w:sz w:val="19"/>
                <w:szCs w:val="19"/>
              </w:rPr>
              <w:t>Politique de filtrage périmétrique (</w:t>
            </w:r>
            <w:proofErr w:type="spellStart"/>
            <w:r>
              <w:rPr>
                <w:b/>
                <w:bCs/>
                <w:sz w:val="19"/>
                <w:szCs w:val="19"/>
              </w:rPr>
              <w:t>PfSense</w:t>
            </w:r>
            <w:proofErr w:type="spellEnd"/>
            <w:r>
              <w:rPr>
                <w:b/>
                <w:bCs/>
                <w:sz w:val="19"/>
                <w:szCs w:val="19"/>
              </w:rPr>
              <w:t>)</w:t>
            </w:r>
          </w:p>
        </w:tc>
        <w:tc>
          <w:tcPr>
            <w:tcW w:w="1300" w:type="dxa"/>
            <w:tcMar>
              <w:top w:w="80" w:type="dxa"/>
              <w:left w:w="100" w:type="dxa"/>
              <w:bottom w:w="80" w:type="dxa"/>
              <w:right w:w="100" w:type="dxa"/>
            </w:tcMar>
            <w:vAlign w:val="center"/>
          </w:tcPr>
          <w:p w14:paraId="55509875" w14:textId="77777777" w:rsidR="00D447D6" w:rsidRDefault="00000000">
            <w:r>
              <w:rPr>
                <w:sz w:val="19"/>
                <w:szCs w:val="19"/>
              </w:rPr>
              <w:t>—</w:t>
            </w:r>
          </w:p>
        </w:tc>
        <w:tc>
          <w:tcPr>
            <w:tcW w:w="2260" w:type="dxa"/>
            <w:tcMar>
              <w:top w:w="80" w:type="dxa"/>
              <w:left w:w="100" w:type="dxa"/>
              <w:bottom w:w="80" w:type="dxa"/>
              <w:right w:w="100" w:type="dxa"/>
            </w:tcMar>
            <w:vAlign w:val="center"/>
          </w:tcPr>
          <w:p w14:paraId="0FF5B4A5" w14:textId="77777777" w:rsidR="00D447D6" w:rsidRDefault="00000000">
            <w:r>
              <w:rPr>
                <w:sz w:val="19"/>
                <w:szCs w:val="19"/>
              </w:rPr>
              <w:t xml:space="preserve">Toutes zones ↔ </w:t>
            </w:r>
            <w:proofErr w:type="spellStart"/>
            <w:r>
              <w:rPr>
                <w:sz w:val="19"/>
                <w:szCs w:val="19"/>
              </w:rPr>
              <w:t>PfSense</w:t>
            </w:r>
            <w:proofErr w:type="spellEnd"/>
            <w:r>
              <w:rPr>
                <w:sz w:val="19"/>
                <w:szCs w:val="19"/>
              </w:rPr>
              <w:t xml:space="preserve"> (règles inter-segments)</w:t>
            </w:r>
          </w:p>
        </w:tc>
        <w:tc>
          <w:tcPr>
            <w:tcW w:w="3200" w:type="dxa"/>
            <w:tcMar>
              <w:top w:w="80" w:type="dxa"/>
              <w:left w:w="100" w:type="dxa"/>
              <w:bottom w:w="80" w:type="dxa"/>
              <w:right w:w="100" w:type="dxa"/>
            </w:tcMar>
            <w:vAlign w:val="center"/>
          </w:tcPr>
          <w:p w14:paraId="601FE63F" w14:textId="77777777" w:rsidR="00D447D6" w:rsidRDefault="00000000">
            <w:pPr>
              <w:spacing w:after="40"/>
            </w:pPr>
            <w:r>
              <w:rPr>
                <w:sz w:val="19"/>
                <w:szCs w:val="19"/>
              </w:rPr>
              <w:t>Deny-all par défaut sur toutes les interfaces ; aucun trafic inter-segment ne contourne le pare-feu.</w:t>
            </w:r>
          </w:p>
          <w:p w14:paraId="42D0E397" w14:textId="77777777" w:rsidR="00D447D6" w:rsidRDefault="00000000">
            <w:pPr>
              <w:spacing w:after="40"/>
            </w:pPr>
            <w:r>
              <w:rPr>
                <w:sz w:val="19"/>
                <w:szCs w:val="19"/>
              </w:rPr>
              <w:t>Seuls les flux explicitement listés dans cette matrice sont autorisés.</w:t>
            </w:r>
          </w:p>
        </w:tc>
      </w:tr>
      <w:tr w:rsidR="00D447D6" w14:paraId="63C3686E" w14:textId="77777777" w:rsidTr="004263FC">
        <w:tc>
          <w:tcPr>
            <w:tcW w:w="700" w:type="dxa"/>
            <w:tcMar>
              <w:top w:w="80" w:type="dxa"/>
              <w:left w:w="100" w:type="dxa"/>
              <w:bottom w:w="80" w:type="dxa"/>
              <w:right w:w="100" w:type="dxa"/>
            </w:tcMar>
            <w:vAlign w:val="center"/>
          </w:tcPr>
          <w:p w14:paraId="4678030F" w14:textId="77777777" w:rsidR="00D447D6" w:rsidRDefault="00000000">
            <w:pPr>
              <w:jc w:val="center"/>
            </w:pPr>
            <w:r>
              <w:rPr>
                <w:b/>
                <w:bCs/>
                <w:sz w:val="19"/>
                <w:szCs w:val="19"/>
              </w:rPr>
              <w:t>FL-06</w:t>
            </w:r>
          </w:p>
        </w:tc>
        <w:tc>
          <w:tcPr>
            <w:tcW w:w="1900" w:type="dxa"/>
            <w:tcMar>
              <w:top w:w="80" w:type="dxa"/>
              <w:left w:w="100" w:type="dxa"/>
              <w:bottom w:w="80" w:type="dxa"/>
              <w:right w:w="100" w:type="dxa"/>
            </w:tcMar>
            <w:vAlign w:val="center"/>
          </w:tcPr>
          <w:p w14:paraId="051A34A3" w14:textId="77777777" w:rsidR="00D447D6" w:rsidRDefault="00000000">
            <w:r>
              <w:rPr>
                <w:b/>
                <w:bCs/>
                <w:sz w:val="19"/>
                <w:szCs w:val="19"/>
              </w:rPr>
              <w:t>Journalisation vers le SIEM</w:t>
            </w:r>
          </w:p>
        </w:tc>
        <w:tc>
          <w:tcPr>
            <w:tcW w:w="1300" w:type="dxa"/>
            <w:tcMar>
              <w:top w:w="80" w:type="dxa"/>
              <w:left w:w="100" w:type="dxa"/>
              <w:bottom w:w="80" w:type="dxa"/>
              <w:right w:w="100" w:type="dxa"/>
            </w:tcMar>
            <w:vAlign w:val="center"/>
          </w:tcPr>
          <w:p w14:paraId="5962110D" w14:textId="77777777" w:rsidR="00D447D6" w:rsidRDefault="00000000">
            <w:proofErr w:type="spellStart"/>
            <w:r>
              <w:rPr>
                <w:sz w:val="19"/>
                <w:szCs w:val="19"/>
              </w:rPr>
              <w:t>syslog</w:t>
            </w:r>
            <w:proofErr w:type="spellEnd"/>
          </w:p>
        </w:tc>
        <w:tc>
          <w:tcPr>
            <w:tcW w:w="2260" w:type="dxa"/>
            <w:tcMar>
              <w:top w:w="80" w:type="dxa"/>
              <w:left w:w="100" w:type="dxa"/>
              <w:bottom w:w="80" w:type="dxa"/>
              <w:right w:w="100" w:type="dxa"/>
            </w:tcMar>
            <w:vAlign w:val="center"/>
          </w:tcPr>
          <w:p w14:paraId="223516A3" w14:textId="77777777" w:rsidR="00D447D6" w:rsidRDefault="00000000">
            <w:r>
              <w:rPr>
                <w:sz w:val="19"/>
                <w:szCs w:val="19"/>
              </w:rPr>
              <w:t xml:space="preserve">SRV-1, SRV-2, Bastion, </w:t>
            </w:r>
            <w:proofErr w:type="spellStart"/>
            <w:r>
              <w:rPr>
                <w:sz w:val="19"/>
                <w:szCs w:val="19"/>
              </w:rPr>
              <w:t>PfSense</w:t>
            </w:r>
            <w:proofErr w:type="spellEnd"/>
            <w:r>
              <w:rPr>
                <w:sz w:val="19"/>
                <w:szCs w:val="19"/>
              </w:rPr>
              <w:t xml:space="preserve"> → SIEM (segment Supervision)</w:t>
            </w:r>
          </w:p>
        </w:tc>
        <w:tc>
          <w:tcPr>
            <w:tcW w:w="3200" w:type="dxa"/>
            <w:tcMar>
              <w:top w:w="80" w:type="dxa"/>
              <w:left w:w="100" w:type="dxa"/>
              <w:bottom w:w="80" w:type="dxa"/>
              <w:right w:w="100" w:type="dxa"/>
            </w:tcMar>
            <w:vAlign w:val="center"/>
          </w:tcPr>
          <w:p w14:paraId="69B228CE" w14:textId="77777777" w:rsidR="00D447D6" w:rsidRDefault="00000000">
            <w:pPr>
              <w:spacing w:after="40"/>
            </w:pPr>
            <w:r>
              <w:rPr>
                <w:sz w:val="19"/>
                <w:szCs w:val="19"/>
              </w:rPr>
              <w:t>Flux unidirectionnel : le SIEM ne peut initier aucune connexion vers les serveurs supervisés.</w:t>
            </w:r>
          </w:p>
          <w:p w14:paraId="72D44C83" w14:textId="77777777" w:rsidR="00D447D6" w:rsidRDefault="00000000">
            <w:pPr>
              <w:spacing w:after="40"/>
            </w:pPr>
            <w:r>
              <w:rPr>
                <w:sz w:val="19"/>
                <w:szCs w:val="19"/>
              </w:rPr>
              <w:t xml:space="preserve">Relayé par </w:t>
            </w:r>
            <w:proofErr w:type="spellStart"/>
            <w:r>
              <w:rPr>
                <w:sz w:val="19"/>
                <w:szCs w:val="19"/>
              </w:rPr>
              <w:t>PfSense</w:t>
            </w:r>
            <w:proofErr w:type="spellEnd"/>
            <w:r>
              <w:rPr>
                <w:sz w:val="19"/>
                <w:szCs w:val="19"/>
              </w:rPr>
              <w:t xml:space="preserve"> comme tout flux inter-segment ; ACL dédiée pour le seul port de journalisation.</w:t>
            </w:r>
          </w:p>
          <w:p w14:paraId="55882A16" w14:textId="77777777" w:rsidR="00D447D6" w:rsidRDefault="00000000">
            <w:pPr>
              <w:spacing w:after="40"/>
            </w:pPr>
            <w:r>
              <w:rPr>
                <w:sz w:val="19"/>
                <w:szCs w:val="19"/>
              </w:rPr>
              <w:t>Centralise les journaux des 4 autres machines pour la corrélation et la détection d'incidents.</w:t>
            </w:r>
          </w:p>
        </w:tc>
      </w:tr>
      <w:tr w:rsidR="00D447D6" w14:paraId="40000001" w14:textId="77777777" w:rsidTr="004263FC">
        <w:tc>
          <w:tcPr>
            <w:tcW w:w="700" w:type="dxa"/>
            <w:tcMar>
              <w:top w:w="80" w:type="dxa"/>
              <w:left w:w="100" w:type="dxa"/>
              <w:bottom w:w="80" w:type="dxa"/>
              <w:right w:w="100" w:type="dxa"/>
            </w:tcMar>
            <w:vAlign w:val="center"/>
          </w:tcPr>
          <w:p w14:paraId="40000002" w14:textId="77777777" w:rsidR="00D447D6" w:rsidRDefault="00000000">
            <w:pPr>
              <w:jc w:val="center"/>
            </w:pPr>
            <w:r>
              <w:rPr>
                <w:b/>
                <w:bCs/>
                <w:sz w:val="19"/>
                <w:szCs w:val="19"/>
              </w:rPr>
              <w:t>FL-07</w:t>
            </w:r>
          </w:p>
        </w:tc>
        <w:tc>
          <w:tcPr>
            <w:tcW w:w="1900" w:type="dxa"/>
            <w:tcMar>
              <w:top w:w="80" w:type="dxa"/>
              <w:left w:w="100" w:type="dxa"/>
              <w:bottom w:w="80" w:type="dxa"/>
              <w:right w:w="100" w:type="dxa"/>
            </w:tcMar>
            <w:vAlign w:val="center"/>
          </w:tcPr>
          <w:p w14:paraId="40000003" w14:textId="77777777" w:rsidR="00D447D6" w:rsidRDefault="00000000">
            <w:r>
              <w:rPr>
                <w:b/>
                <w:bCs/>
                <w:sz w:val="19"/>
                <w:szCs w:val="19"/>
              </w:rPr>
              <w:t>Rebond bastion → Backup</w:t>
            </w:r>
          </w:p>
        </w:tc>
        <w:tc>
          <w:tcPr>
            <w:tcW w:w="1300" w:type="dxa"/>
            <w:tcMar>
              <w:top w:w="80" w:type="dxa"/>
              <w:left w:w="100" w:type="dxa"/>
              <w:bottom w:w="80" w:type="dxa"/>
              <w:right w:w="100" w:type="dxa"/>
            </w:tcMar>
            <w:vAlign w:val="center"/>
          </w:tcPr>
          <w:p w14:paraId="40000004" w14:textId="77777777" w:rsidR="00D447D6" w:rsidRDefault="00000000">
            <w:r>
              <w:rPr>
                <w:sz w:val="19"/>
                <w:szCs w:val="19"/>
              </w:rPr>
              <w:t>2222/</w:t>
            </w:r>
            <w:proofErr w:type="spellStart"/>
            <w:r>
              <w:rPr>
                <w:sz w:val="19"/>
                <w:szCs w:val="19"/>
              </w:rPr>
              <w:t>tcp</w:t>
            </w:r>
            <w:proofErr w:type="spellEnd"/>
          </w:p>
        </w:tc>
        <w:tc>
          <w:tcPr>
            <w:tcW w:w="2260" w:type="dxa"/>
            <w:tcMar>
              <w:top w:w="80" w:type="dxa"/>
              <w:left w:w="100" w:type="dxa"/>
              <w:bottom w:w="80" w:type="dxa"/>
              <w:right w:w="100" w:type="dxa"/>
            </w:tcMar>
            <w:vAlign w:val="center"/>
          </w:tcPr>
          <w:p w14:paraId="40000005" w14:textId="77777777" w:rsidR="00D447D6" w:rsidRDefault="00000000">
            <w:r>
              <w:rPr>
                <w:sz w:val="19"/>
                <w:szCs w:val="19"/>
              </w:rPr>
              <w:t xml:space="preserve">Bastion → </w:t>
            </w:r>
            <w:proofErr w:type="spellStart"/>
            <w:r>
              <w:rPr>
                <w:sz w:val="19"/>
                <w:szCs w:val="19"/>
              </w:rPr>
              <w:t>PfSense</w:t>
            </w:r>
            <w:proofErr w:type="spellEnd"/>
            <w:r>
              <w:rPr>
                <w:sz w:val="19"/>
                <w:szCs w:val="19"/>
              </w:rPr>
              <w:t xml:space="preserve"> (relai) → Backup (administration)</w:t>
            </w:r>
          </w:p>
        </w:tc>
        <w:tc>
          <w:tcPr>
            <w:tcW w:w="3200" w:type="dxa"/>
            <w:tcMar>
              <w:top w:w="80" w:type="dxa"/>
              <w:left w:w="100" w:type="dxa"/>
              <w:bottom w:w="80" w:type="dxa"/>
              <w:right w:w="100" w:type="dxa"/>
            </w:tcMar>
            <w:vAlign w:val="center"/>
          </w:tcPr>
          <w:p w14:paraId="40000006" w14:textId="77777777" w:rsidR="00D447D6" w:rsidRDefault="00000000">
            <w:pPr>
              <w:spacing w:after="40"/>
            </w:pPr>
            <w:r>
              <w:rPr>
                <w:sz w:val="19"/>
                <w:szCs w:val="19"/>
              </w:rPr>
              <w:t xml:space="preserve">Rebond systématiquement relayé par </w:t>
            </w:r>
            <w:proofErr w:type="spellStart"/>
            <w:r>
              <w:rPr>
                <w:sz w:val="19"/>
                <w:szCs w:val="19"/>
              </w:rPr>
              <w:t>PfSense</w:t>
            </w:r>
            <w:proofErr w:type="spellEnd"/>
            <w:r>
              <w:rPr>
                <w:sz w:val="19"/>
                <w:szCs w:val="19"/>
              </w:rPr>
              <w:t>, comme pour SRV-1 et SRV-2.</w:t>
            </w:r>
          </w:p>
          <w:p w14:paraId="40000007" w14:textId="77777777" w:rsidR="00D447D6" w:rsidRDefault="00000000">
            <w:pPr>
              <w:spacing w:after="40"/>
            </w:pPr>
            <w:proofErr w:type="spellStart"/>
            <w:r>
              <w:rPr>
                <w:sz w:val="19"/>
                <w:szCs w:val="19"/>
              </w:rPr>
              <w:t>iptables</w:t>
            </w:r>
            <w:proofErr w:type="spellEnd"/>
            <w:r>
              <w:rPr>
                <w:sz w:val="19"/>
                <w:szCs w:val="19"/>
              </w:rPr>
              <w:t xml:space="preserve"> local : n'accepte 2222/</w:t>
            </w:r>
            <w:proofErr w:type="spellStart"/>
            <w:r>
              <w:rPr>
                <w:sz w:val="19"/>
                <w:szCs w:val="19"/>
              </w:rPr>
              <w:t>tcp</w:t>
            </w:r>
            <w:proofErr w:type="spellEnd"/>
            <w:r>
              <w:rPr>
                <w:sz w:val="19"/>
                <w:szCs w:val="19"/>
              </w:rPr>
              <w:t xml:space="preserve"> que depuis l'IP du bastion.</w:t>
            </w:r>
          </w:p>
          <w:p w14:paraId="40000008" w14:textId="77777777" w:rsidR="00D447D6" w:rsidRDefault="00000000">
            <w:pPr>
              <w:spacing w:after="40"/>
            </w:pPr>
            <w:r>
              <w:rPr>
                <w:sz w:val="19"/>
                <w:szCs w:val="19"/>
              </w:rPr>
              <w:t>Usage : logs, état des services, actions correctives sur le serveur de sauvegarde.</w:t>
            </w:r>
          </w:p>
        </w:tc>
      </w:tr>
      <w:tr w:rsidR="00D447D6" w14:paraId="40000011" w14:textId="77777777" w:rsidTr="004263FC">
        <w:tc>
          <w:tcPr>
            <w:tcW w:w="700" w:type="dxa"/>
            <w:tcMar>
              <w:top w:w="80" w:type="dxa"/>
              <w:left w:w="100" w:type="dxa"/>
              <w:bottom w:w="80" w:type="dxa"/>
              <w:right w:w="100" w:type="dxa"/>
            </w:tcMar>
            <w:vAlign w:val="center"/>
          </w:tcPr>
          <w:p w14:paraId="40000012" w14:textId="77777777" w:rsidR="00D447D6" w:rsidRDefault="00000000">
            <w:pPr>
              <w:jc w:val="center"/>
            </w:pPr>
            <w:r>
              <w:rPr>
                <w:b/>
                <w:bCs/>
                <w:sz w:val="19"/>
                <w:szCs w:val="19"/>
              </w:rPr>
              <w:t>FL-08</w:t>
            </w:r>
          </w:p>
        </w:tc>
        <w:tc>
          <w:tcPr>
            <w:tcW w:w="1900" w:type="dxa"/>
            <w:tcMar>
              <w:top w:w="80" w:type="dxa"/>
              <w:left w:w="100" w:type="dxa"/>
              <w:bottom w:w="80" w:type="dxa"/>
              <w:right w:w="100" w:type="dxa"/>
            </w:tcMar>
            <w:vAlign w:val="center"/>
          </w:tcPr>
          <w:p w14:paraId="40000013" w14:textId="77777777" w:rsidR="00D447D6" w:rsidRDefault="00000000">
            <w:r>
              <w:rPr>
                <w:b/>
                <w:bCs/>
                <w:sz w:val="19"/>
                <w:szCs w:val="19"/>
              </w:rPr>
              <w:t>Sauvegarde SRV-2 → Backup</w:t>
            </w:r>
          </w:p>
        </w:tc>
        <w:tc>
          <w:tcPr>
            <w:tcW w:w="1300" w:type="dxa"/>
            <w:tcMar>
              <w:top w:w="80" w:type="dxa"/>
              <w:left w:w="100" w:type="dxa"/>
              <w:bottom w:w="80" w:type="dxa"/>
              <w:right w:w="100" w:type="dxa"/>
            </w:tcMar>
            <w:vAlign w:val="center"/>
          </w:tcPr>
          <w:p w14:paraId="40000014" w14:textId="77777777" w:rsidR="00D447D6" w:rsidRDefault="00000000">
            <w:r>
              <w:rPr>
                <w:sz w:val="19"/>
                <w:szCs w:val="19"/>
              </w:rPr>
              <w:t>2222/</w:t>
            </w:r>
            <w:proofErr w:type="spellStart"/>
            <w:r>
              <w:rPr>
                <w:sz w:val="19"/>
                <w:szCs w:val="19"/>
              </w:rPr>
              <w:t>tcp</w:t>
            </w:r>
            <w:proofErr w:type="spellEnd"/>
          </w:p>
        </w:tc>
        <w:tc>
          <w:tcPr>
            <w:tcW w:w="2260" w:type="dxa"/>
            <w:tcMar>
              <w:top w:w="80" w:type="dxa"/>
              <w:left w:w="100" w:type="dxa"/>
              <w:bottom w:w="80" w:type="dxa"/>
              <w:right w:w="100" w:type="dxa"/>
            </w:tcMar>
            <w:vAlign w:val="center"/>
          </w:tcPr>
          <w:p w14:paraId="40000015" w14:textId="77777777" w:rsidR="00D447D6" w:rsidRDefault="00000000">
            <w:r>
              <w:rPr>
                <w:sz w:val="19"/>
                <w:szCs w:val="19"/>
              </w:rPr>
              <w:t xml:space="preserve">SRV-2 → </w:t>
            </w:r>
            <w:proofErr w:type="spellStart"/>
            <w:r>
              <w:rPr>
                <w:sz w:val="19"/>
                <w:szCs w:val="19"/>
              </w:rPr>
              <w:t>PfSense</w:t>
            </w:r>
            <w:proofErr w:type="spellEnd"/>
            <w:r>
              <w:rPr>
                <w:sz w:val="19"/>
                <w:szCs w:val="19"/>
              </w:rPr>
              <w:t xml:space="preserve"> (relai) → Backup (SSH restreint, BORG)</w:t>
            </w:r>
          </w:p>
        </w:tc>
        <w:tc>
          <w:tcPr>
            <w:tcW w:w="3200" w:type="dxa"/>
            <w:tcMar>
              <w:top w:w="80" w:type="dxa"/>
              <w:left w:w="100" w:type="dxa"/>
              <w:bottom w:w="80" w:type="dxa"/>
              <w:right w:w="100" w:type="dxa"/>
            </w:tcMar>
            <w:vAlign w:val="center"/>
          </w:tcPr>
          <w:p w14:paraId="40000016" w14:textId="77777777" w:rsidR="00D447D6" w:rsidRDefault="00000000">
            <w:pPr>
              <w:spacing w:after="40"/>
            </w:pPr>
            <w:r>
              <w:rPr>
                <w:sz w:val="19"/>
                <w:szCs w:val="19"/>
              </w:rPr>
              <w:t xml:space="preserve">SRV-2 initie la connexion (mode push) ; relayée par </w:t>
            </w:r>
            <w:proofErr w:type="spellStart"/>
            <w:r>
              <w:rPr>
                <w:sz w:val="19"/>
                <w:szCs w:val="19"/>
              </w:rPr>
              <w:t>PfSense</w:t>
            </w:r>
            <w:proofErr w:type="spellEnd"/>
            <w:r>
              <w:rPr>
                <w:sz w:val="19"/>
                <w:szCs w:val="19"/>
              </w:rPr>
              <w:t xml:space="preserve"> comme tout flux inter-segment.</w:t>
            </w:r>
          </w:p>
          <w:p w14:paraId="40000017" w14:textId="77777777" w:rsidR="00D447D6" w:rsidRDefault="00000000">
            <w:pPr>
              <w:spacing w:after="40"/>
            </w:pPr>
            <w:proofErr w:type="spellStart"/>
            <w:r>
              <w:rPr>
                <w:sz w:val="19"/>
                <w:szCs w:val="19"/>
              </w:rPr>
              <w:t>iptables</w:t>
            </w:r>
            <w:proofErr w:type="spellEnd"/>
            <w:r>
              <w:rPr>
                <w:sz w:val="19"/>
                <w:szCs w:val="19"/>
              </w:rPr>
              <w:t xml:space="preserve"> Backup : n'accepte 2222/</w:t>
            </w:r>
            <w:proofErr w:type="spellStart"/>
            <w:r>
              <w:rPr>
                <w:sz w:val="19"/>
                <w:szCs w:val="19"/>
              </w:rPr>
              <w:t>tcp</w:t>
            </w:r>
            <w:proofErr w:type="spellEnd"/>
            <w:r>
              <w:rPr>
                <w:sz w:val="19"/>
                <w:szCs w:val="19"/>
              </w:rPr>
              <w:t xml:space="preserve"> que depuis le bastion ou depuis SRV-2.</w:t>
            </w:r>
          </w:p>
          <w:p w14:paraId="40000018" w14:textId="77777777" w:rsidR="00D447D6" w:rsidRDefault="00000000">
            <w:pPr>
              <w:spacing w:after="40"/>
            </w:pPr>
            <w:r>
              <w:rPr>
                <w:sz w:val="19"/>
                <w:szCs w:val="19"/>
              </w:rPr>
              <w:t>Commande SSH restreinte (</w:t>
            </w:r>
            <w:proofErr w:type="spellStart"/>
            <w:r>
              <w:rPr>
                <w:sz w:val="19"/>
                <w:szCs w:val="19"/>
              </w:rPr>
              <w:t>borg</w:t>
            </w:r>
            <w:proofErr w:type="spellEnd"/>
            <w:r>
              <w:rPr>
                <w:sz w:val="19"/>
                <w:szCs w:val="19"/>
              </w:rPr>
              <w:t xml:space="preserve"> serve) : pas de </w:t>
            </w:r>
            <w:proofErr w:type="spellStart"/>
            <w:r>
              <w:rPr>
                <w:sz w:val="19"/>
                <w:szCs w:val="19"/>
              </w:rPr>
              <w:t>shell</w:t>
            </w:r>
            <w:proofErr w:type="spellEnd"/>
            <w:r>
              <w:rPr>
                <w:sz w:val="19"/>
                <w:szCs w:val="19"/>
              </w:rPr>
              <w:t xml:space="preserve"> interactif, périmètre limité au dépôt de sauvegarde.</w:t>
            </w:r>
          </w:p>
          <w:p w14:paraId="40000019" w14:textId="77777777" w:rsidR="00D447D6" w:rsidRDefault="00000000">
            <w:pPr>
              <w:spacing w:after="40"/>
            </w:pPr>
            <w:r>
              <w:rPr>
                <w:sz w:val="19"/>
                <w:szCs w:val="19"/>
              </w:rPr>
              <w:t>Backup n'est jamais connecté directement à SRV-1 ou SRV-2 : il n'est relié qu'au pare-feu.</w:t>
            </w:r>
          </w:p>
        </w:tc>
      </w:tr>
    </w:tbl>
    <w:p w14:paraId="5A8A2704" w14:textId="77777777" w:rsidR="00D447D6" w:rsidRDefault="00D447D6">
      <w:pPr>
        <w:spacing w:after="300"/>
      </w:pPr>
    </w:p>
    <w:p w14:paraId="0107A33E" w14:textId="77777777" w:rsidR="00D447D6" w:rsidRDefault="00000000">
      <w:r>
        <w:br w:type="page"/>
      </w:r>
    </w:p>
    <w:p w14:paraId="1D0E2C63" w14:textId="3B212196" w:rsidR="00D447D6" w:rsidRDefault="00797E0B">
      <w:pPr>
        <w:pStyle w:val="Titre1"/>
      </w:pPr>
      <w:r>
        <w:lastRenderedPageBreak/>
        <w:t xml:space="preserve"> </w:t>
      </w:r>
      <w:bookmarkStart w:id="8" w:name="_Toc236130206"/>
      <w:r>
        <w:t>6. Diagramme réseau</w:t>
      </w:r>
      <w:bookmarkEnd w:id="8"/>
    </w:p>
    <w:p w14:paraId="43C9818C" w14:textId="6A889D58" w:rsidR="00D447D6" w:rsidRDefault="00000000">
      <w:pPr>
        <w:spacing w:after="160"/>
      </w:pPr>
      <w:r>
        <w:t xml:space="preserve">Ce diagramme représente la topologie de l'infrastructure : un pare-feu périmétrique </w:t>
      </w:r>
      <w:proofErr w:type="spellStart"/>
      <w:r>
        <w:t>PfSense</w:t>
      </w:r>
      <w:proofErr w:type="spellEnd"/>
      <w:r>
        <w:t xml:space="preserve"> multi-interfaces relie cinq segments réseau distincts — la DMZ (SRV-1, exposé sous </w:t>
      </w:r>
      <w:proofErr w:type="spellStart"/>
      <w:r>
        <w:t>lechatdethomas.local</w:t>
      </w:r>
      <w:proofErr w:type="spellEnd"/>
      <w:r>
        <w:t xml:space="preserve"> en HTTPS), le segment de management (bastion, SSH port 2222), le segment interne de données (SRV-2), le segment de supervision (SIEM) et le segment de sauvegarde (Backup). Aucun segment n'est directement relié à un autre : chaque segment ne dispose que d'un lien physique vers le pare-feu, qui relaie donc nécessairement tout flux logique entre deux segments, qu'il s'agisse du trafic applicatif SRV-1 ↔ SRV-2, des rebonds d'administration depuis le bastion, de la sauvegarde de SRV-2 initiée en push vers Backup, ou de la remontée des journaux vers le SIEM.</w:t>
      </w:r>
    </w:p>
    <w:p w14:paraId="247BA3F3" w14:textId="67DA7C41" w:rsidR="00D447D6" w:rsidRDefault="006D0513">
      <w:pPr>
        <w:spacing w:before="120" w:after="60"/>
        <w:jc w:val="center"/>
      </w:pPr>
      <w:r>
        <w:rPr>
          <w:noProof/>
        </w:rPr>
        <w:drawing>
          <wp:inline distT="0" distB="0" distL="0" distR="0" wp14:anchorId="12677225" wp14:editId="3FE10811">
            <wp:extent cx="3810635" cy="3841115"/>
            <wp:effectExtent l="0" t="0" r="0" b="6985"/>
            <wp:docPr id="289496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635" cy="3841115"/>
                    </a:xfrm>
                    <a:prstGeom prst="rect">
                      <a:avLst/>
                    </a:prstGeom>
                    <a:noFill/>
                  </pic:spPr>
                </pic:pic>
              </a:graphicData>
            </a:graphic>
          </wp:inline>
        </w:drawing>
      </w:r>
    </w:p>
    <w:p w14:paraId="364D7965" w14:textId="77777777" w:rsidR="00D447D6" w:rsidRDefault="00000000">
      <w:pPr>
        <w:spacing w:before="80" w:after="300"/>
        <w:jc w:val="center"/>
      </w:pPr>
      <w:r>
        <w:rPr>
          <w:i/>
          <w:iCs/>
          <w:color w:val="595959"/>
          <w:sz w:val="20"/>
          <w:szCs w:val="20"/>
        </w:rPr>
        <w:t>Figure 4 — Diagramme réseau de l'infrastructure</w:t>
      </w:r>
    </w:p>
    <w:p w14:paraId="5536E28B" w14:textId="5E30A7E6" w:rsidR="00D447D6" w:rsidRDefault="00000000">
      <w:pPr>
        <w:spacing w:after="160"/>
      </w:pPr>
      <w:r>
        <w:t xml:space="preserve">Cette topologie garantit qu'un utilisateur externe ne peut atteindre que SRV-1, qu'un administrateur ne peut atteindre que le bastion depuis l'extérieur, et que toute communication entre segments internes (SRV-1 ↔ SRV-2, bastion → serveurs, SRV-2 → Backup, serveurs → SIEM) est nécessairement filtrable et </w:t>
      </w:r>
      <w:proofErr w:type="spellStart"/>
      <w:r>
        <w:t>journalisable</w:t>
      </w:r>
      <w:proofErr w:type="spellEnd"/>
      <w:r>
        <w:t xml:space="preserve"> au niveau du pare-feu.</w:t>
      </w:r>
    </w:p>
    <w:sectPr w:rsidR="00D447D6">
      <w:headerReference w:type="default" r:id="rId11"/>
      <w:footerReference w:type="default" r:id="rId12"/>
      <w:pgSz w:w="11906" w:h="16838"/>
      <w:pgMar w:top="1300" w:right="1100" w:bottom="13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E7AE" w14:textId="77777777" w:rsidR="00181E0D" w:rsidRDefault="00181E0D">
      <w:r>
        <w:separator/>
      </w:r>
    </w:p>
  </w:endnote>
  <w:endnote w:type="continuationSeparator" w:id="0">
    <w:p w14:paraId="32C8A2FE" w14:textId="77777777" w:rsidR="00181E0D" w:rsidRDefault="00181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EC30" w14:textId="6EA2D985" w:rsidR="00D447D6" w:rsidRDefault="00AF613E">
    <w:pPr>
      <w:pBdr>
        <w:top w:val="single" w:sz="4" w:space="4" w:color="BFBFBF"/>
      </w:pBdr>
      <w:jc w:val="center"/>
    </w:pPr>
    <w:r>
      <w:rPr>
        <w:color w:val="595959"/>
        <w:sz w:val="18"/>
        <w:szCs w:val="18"/>
      </w:rPr>
      <w:t>V260</w:t>
    </w:r>
    <w:r w:rsidR="004E3418">
      <w:rPr>
        <w:color w:val="595959"/>
        <w:sz w:val="18"/>
        <w:szCs w:val="18"/>
      </w:rPr>
      <w:t>805</w:t>
    </w:r>
    <w:r>
      <w:rPr>
        <w:color w:val="595959"/>
        <w:sz w:val="18"/>
        <w:szCs w:val="18"/>
      </w:rPr>
      <w:t xml:space="preserve">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EA6BF5">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EA6BF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F914B" w14:textId="77777777" w:rsidR="00181E0D" w:rsidRDefault="00181E0D">
      <w:r>
        <w:separator/>
      </w:r>
    </w:p>
  </w:footnote>
  <w:footnote w:type="continuationSeparator" w:id="0">
    <w:p w14:paraId="52A44B66" w14:textId="77777777" w:rsidR="00181E0D" w:rsidRDefault="00181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5ABA" w14:textId="77777777" w:rsidR="00D447D6" w:rsidRDefault="00000000">
    <w:pPr>
      <w:pBdr>
        <w:bottom w:val="single" w:sz="4" w:space="4" w:color="BFBFBF"/>
      </w:pBdr>
      <w:jc w:val="right"/>
    </w:pPr>
    <w:r>
      <w:rPr>
        <w:color w:val="595959"/>
        <w:sz w:val="18"/>
        <w:szCs w:val="18"/>
      </w:rPr>
      <w:t>Projet AIS — Document HLD</w:t>
    </w:r>
    <w:r>
      <w:rPr>
        <w:i/>
        <w:iCs/>
        <w:color w:val="595959"/>
        <w:sz w:val="18"/>
        <w:szCs w:val="18"/>
      </w:rPr>
      <w:t xml:space="preserve">  |  Confidentiel — Usage interne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41B95"/>
    <w:multiLevelType w:val="hybridMultilevel"/>
    <w:tmpl w:val="25663C14"/>
    <w:lvl w:ilvl="0" w:tplc="46964B56">
      <w:start w:val="1"/>
      <w:numFmt w:val="bullet"/>
      <w:lvlText w:val="●"/>
      <w:lvlJc w:val="left"/>
      <w:pPr>
        <w:ind w:left="720" w:hanging="360"/>
      </w:pPr>
    </w:lvl>
    <w:lvl w:ilvl="1" w:tplc="8B304220">
      <w:start w:val="1"/>
      <w:numFmt w:val="bullet"/>
      <w:lvlText w:val="○"/>
      <w:lvlJc w:val="left"/>
      <w:pPr>
        <w:ind w:left="1440" w:hanging="360"/>
      </w:pPr>
    </w:lvl>
    <w:lvl w:ilvl="2" w:tplc="40C645D2">
      <w:start w:val="1"/>
      <w:numFmt w:val="bullet"/>
      <w:lvlText w:val="■"/>
      <w:lvlJc w:val="left"/>
      <w:pPr>
        <w:ind w:left="2160" w:hanging="360"/>
      </w:pPr>
    </w:lvl>
    <w:lvl w:ilvl="3" w:tplc="D92C02DA">
      <w:start w:val="1"/>
      <w:numFmt w:val="bullet"/>
      <w:lvlText w:val="●"/>
      <w:lvlJc w:val="left"/>
      <w:pPr>
        <w:ind w:left="2880" w:hanging="360"/>
      </w:pPr>
    </w:lvl>
    <w:lvl w:ilvl="4" w:tplc="B23A0BAA">
      <w:start w:val="1"/>
      <w:numFmt w:val="bullet"/>
      <w:lvlText w:val="○"/>
      <w:lvlJc w:val="left"/>
      <w:pPr>
        <w:ind w:left="3600" w:hanging="360"/>
      </w:pPr>
    </w:lvl>
    <w:lvl w:ilvl="5" w:tplc="C6B80C82">
      <w:start w:val="1"/>
      <w:numFmt w:val="bullet"/>
      <w:lvlText w:val="■"/>
      <w:lvlJc w:val="left"/>
      <w:pPr>
        <w:ind w:left="4320" w:hanging="360"/>
      </w:pPr>
    </w:lvl>
    <w:lvl w:ilvl="6" w:tplc="29F887C4">
      <w:start w:val="1"/>
      <w:numFmt w:val="bullet"/>
      <w:lvlText w:val="●"/>
      <w:lvlJc w:val="left"/>
      <w:pPr>
        <w:ind w:left="5040" w:hanging="360"/>
      </w:pPr>
    </w:lvl>
    <w:lvl w:ilvl="7" w:tplc="FF8AD50C">
      <w:start w:val="1"/>
      <w:numFmt w:val="bullet"/>
      <w:lvlText w:val="●"/>
      <w:lvlJc w:val="left"/>
      <w:pPr>
        <w:ind w:left="5760" w:hanging="360"/>
      </w:pPr>
    </w:lvl>
    <w:lvl w:ilvl="8" w:tplc="CB5E4D68">
      <w:start w:val="1"/>
      <w:numFmt w:val="bullet"/>
      <w:lvlText w:val="●"/>
      <w:lvlJc w:val="left"/>
      <w:pPr>
        <w:ind w:left="6480" w:hanging="360"/>
      </w:pPr>
    </w:lvl>
  </w:abstractNum>
  <w:abstractNum w:abstractNumId="1" w15:restartNumberingAfterBreak="0">
    <w:nsid w:val="4DF0425C"/>
    <w:multiLevelType w:val="hybridMultilevel"/>
    <w:tmpl w:val="0114C6EE"/>
    <w:lvl w:ilvl="0" w:tplc="3064DF14">
      <w:start w:val="1"/>
      <w:numFmt w:val="bullet"/>
      <w:lvlText w:val="•"/>
      <w:lvlJc w:val="left"/>
      <w:pPr>
        <w:ind w:left="480" w:hanging="260"/>
      </w:pPr>
    </w:lvl>
    <w:lvl w:ilvl="1" w:tplc="A23A00D6">
      <w:numFmt w:val="decimal"/>
      <w:lvlText w:val=""/>
      <w:lvlJc w:val="left"/>
    </w:lvl>
    <w:lvl w:ilvl="2" w:tplc="4D32C89E">
      <w:numFmt w:val="decimal"/>
      <w:lvlText w:val=""/>
      <w:lvlJc w:val="left"/>
    </w:lvl>
    <w:lvl w:ilvl="3" w:tplc="F06E4F96">
      <w:numFmt w:val="decimal"/>
      <w:lvlText w:val=""/>
      <w:lvlJc w:val="left"/>
    </w:lvl>
    <w:lvl w:ilvl="4" w:tplc="9984D032">
      <w:numFmt w:val="decimal"/>
      <w:lvlText w:val=""/>
      <w:lvlJc w:val="left"/>
    </w:lvl>
    <w:lvl w:ilvl="5" w:tplc="B106C1A6">
      <w:numFmt w:val="decimal"/>
      <w:lvlText w:val=""/>
      <w:lvlJc w:val="left"/>
    </w:lvl>
    <w:lvl w:ilvl="6" w:tplc="7054C074">
      <w:numFmt w:val="decimal"/>
      <w:lvlText w:val=""/>
      <w:lvlJc w:val="left"/>
    </w:lvl>
    <w:lvl w:ilvl="7" w:tplc="BA12FE90">
      <w:numFmt w:val="decimal"/>
      <w:lvlText w:val=""/>
      <w:lvlJc w:val="left"/>
    </w:lvl>
    <w:lvl w:ilvl="8" w:tplc="A8729964">
      <w:numFmt w:val="decimal"/>
      <w:lvlText w:val=""/>
      <w:lvlJc w:val="left"/>
    </w:lvl>
  </w:abstractNum>
  <w:abstractNum w:abstractNumId="2" w15:restartNumberingAfterBreak="0">
    <w:nsid w:val="53AF19A3"/>
    <w:multiLevelType w:val="hybridMultilevel"/>
    <w:tmpl w:val="8C867F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71020295">
    <w:abstractNumId w:val="0"/>
    <w:lvlOverride w:ilvl="0">
      <w:startOverride w:val="1"/>
    </w:lvlOverride>
  </w:num>
  <w:num w:numId="2" w16cid:durableId="1194613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D6"/>
    <w:rsid w:val="000C62B5"/>
    <w:rsid w:val="000F64FF"/>
    <w:rsid w:val="00181E0D"/>
    <w:rsid w:val="0023216A"/>
    <w:rsid w:val="00244E38"/>
    <w:rsid w:val="003E3162"/>
    <w:rsid w:val="004263FC"/>
    <w:rsid w:val="00473DCF"/>
    <w:rsid w:val="004E3418"/>
    <w:rsid w:val="00520673"/>
    <w:rsid w:val="00572950"/>
    <w:rsid w:val="0059588C"/>
    <w:rsid w:val="006D0513"/>
    <w:rsid w:val="006E7A4A"/>
    <w:rsid w:val="00777FCB"/>
    <w:rsid w:val="00797E0B"/>
    <w:rsid w:val="0087502C"/>
    <w:rsid w:val="00892E92"/>
    <w:rsid w:val="008959A5"/>
    <w:rsid w:val="008E6474"/>
    <w:rsid w:val="00952F7D"/>
    <w:rsid w:val="009A3367"/>
    <w:rsid w:val="009D5663"/>
    <w:rsid w:val="009F6942"/>
    <w:rsid w:val="00A62E79"/>
    <w:rsid w:val="00AC21EC"/>
    <w:rsid w:val="00AF20FE"/>
    <w:rsid w:val="00AF613E"/>
    <w:rsid w:val="00C641D5"/>
    <w:rsid w:val="00CA31DC"/>
    <w:rsid w:val="00CB0361"/>
    <w:rsid w:val="00D447D6"/>
    <w:rsid w:val="00D71D39"/>
    <w:rsid w:val="00D74CEA"/>
    <w:rsid w:val="00DA14FD"/>
    <w:rsid w:val="00E30372"/>
    <w:rsid w:val="00EA6BF5"/>
    <w:rsid w:val="00ED47C9"/>
    <w:rsid w:val="00EE1BBF"/>
    <w:rsid w:val="00FA741C"/>
    <w:rsid w:val="00FD4B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710F"/>
  <w15:docId w15:val="{246E79AE-C713-4630-8675-9CCE14AC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E79"/>
  </w:style>
  <w:style w:type="paragraph" w:styleId="Titre1">
    <w:name w:val="heading 1"/>
    <w:link w:val="Titre1Car"/>
    <w:uiPriority w:val="9"/>
    <w:qFormat/>
    <w:pPr>
      <w:spacing w:before="360" w:after="200"/>
      <w:outlineLvl w:val="0"/>
    </w:pPr>
    <w:rPr>
      <w:b/>
      <w:bCs/>
      <w:color w:val="1F4E79"/>
      <w:sz w:val="32"/>
      <w:szCs w:val="32"/>
    </w:rPr>
  </w:style>
  <w:style w:type="paragraph" w:styleId="Titre2">
    <w:name w:val="heading 2"/>
    <w:uiPriority w:val="9"/>
    <w:unhideWhenUsed/>
    <w:qFormat/>
    <w:pPr>
      <w:spacing w:before="260" w:after="16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A6BF5"/>
    <w:pPr>
      <w:spacing w:after="100"/>
    </w:pPr>
  </w:style>
  <w:style w:type="paragraph" w:styleId="TM2">
    <w:name w:val="toc 2"/>
    <w:basedOn w:val="Normal"/>
    <w:next w:val="Normal"/>
    <w:autoRedefine/>
    <w:uiPriority w:val="39"/>
    <w:unhideWhenUsed/>
    <w:rsid w:val="00EA6BF5"/>
    <w:pPr>
      <w:spacing w:after="100"/>
      <w:ind w:left="220"/>
    </w:pPr>
  </w:style>
  <w:style w:type="paragraph" w:styleId="En-tte">
    <w:name w:val="header"/>
    <w:basedOn w:val="Normal"/>
    <w:link w:val="En-tteCar"/>
    <w:uiPriority w:val="99"/>
    <w:unhideWhenUsed/>
    <w:rsid w:val="00EA6BF5"/>
    <w:pPr>
      <w:tabs>
        <w:tab w:val="center" w:pos="4536"/>
        <w:tab w:val="right" w:pos="9072"/>
      </w:tabs>
    </w:pPr>
  </w:style>
  <w:style w:type="character" w:customStyle="1" w:styleId="En-tteCar">
    <w:name w:val="En-tête Car"/>
    <w:basedOn w:val="Policepardfaut"/>
    <w:link w:val="En-tte"/>
    <w:uiPriority w:val="99"/>
    <w:rsid w:val="00EA6BF5"/>
  </w:style>
  <w:style w:type="paragraph" w:styleId="Pieddepage">
    <w:name w:val="footer"/>
    <w:basedOn w:val="Normal"/>
    <w:link w:val="PieddepageCar"/>
    <w:uiPriority w:val="99"/>
    <w:unhideWhenUsed/>
    <w:rsid w:val="00EA6BF5"/>
    <w:pPr>
      <w:tabs>
        <w:tab w:val="center" w:pos="4536"/>
        <w:tab w:val="right" w:pos="9072"/>
      </w:tabs>
    </w:pPr>
  </w:style>
  <w:style w:type="character" w:customStyle="1" w:styleId="PieddepageCar">
    <w:name w:val="Pied de page Car"/>
    <w:basedOn w:val="Policepardfaut"/>
    <w:link w:val="Pieddepage"/>
    <w:uiPriority w:val="99"/>
    <w:rsid w:val="00EA6BF5"/>
  </w:style>
  <w:style w:type="character" w:customStyle="1" w:styleId="Titre1Car">
    <w:name w:val="Titre 1 Car"/>
    <w:basedOn w:val="Policepardfaut"/>
    <w:link w:val="Titre1"/>
    <w:uiPriority w:val="9"/>
    <w:rsid w:val="008E6474"/>
    <w:rPr>
      <w:b/>
      <w:bCs/>
      <w:color w:val="1F4E79"/>
      <w:sz w:val="32"/>
      <w:szCs w:val="32"/>
    </w:rPr>
  </w:style>
  <w:style w:type="paragraph" w:styleId="Sansinterligne">
    <w:name w:val="No Spacing"/>
    <w:uiPriority w:val="1"/>
    <w:qFormat/>
    <w:rsid w:val="00FD4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492</TotalTime>
  <Pages>9</Pages>
  <Words>1814</Words>
  <Characters>9980</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MICHEL</cp:lastModifiedBy>
  <cp:revision>19</cp:revision>
  <cp:lastPrinted>2026-08-05T07:44:00Z</cp:lastPrinted>
  <dcterms:created xsi:type="dcterms:W3CDTF">2026-07-28T07:37:00Z</dcterms:created>
  <dcterms:modified xsi:type="dcterms:W3CDTF">2026-08-05T07:44:00Z</dcterms:modified>
</cp:coreProperties>
</file>