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面向缆机协同作业的智能卸料动态匹配调度系统 操作手册</w:t>
      </w:r>
    </w:p>
    <w:p>
      <w:pPr>
        <w:pStyle w:val="Heading2"/>
      </w:pPr>
      <w:r>
        <w:rPr>
          <w:color w:val="000000"/>
        </w:rPr>
        <w:t>一、软件概述</w:t>
      </w:r>
    </w:p>
    <w:p>
      <w:r>
        <w:rPr>
          <w:rFonts w:ascii="SimSun" w:hAnsi="SimSun" w:eastAsia="SimSun"/>
          <w:color w:val="000000"/>
          <w:sz w:val="21"/>
        </w:rPr>
        <w:t>面向缆机协同作业的智能卸料动态匹配调度系统是用于水利水电工程大坝混凝土施工的缆机与运输车辆调度匹配平台。在大坝混凝土浇筑过程中，缆机从990平台装料区接取混凝土吊罐后，沿索道运送到基坑卸料区卸料；运输车辆则从拌合楼接料区装载混凝土，沿道路运送到基坑卸料区。传统调度方式依赖调度员通过电话逐一联系缆机操作员和车辆司机，确认级配类型后再安排匹配，容易出现级配错配、车辆长时间等待、缆机空转等问题。</w:t>
      </w:r>
    </w:p>
    <w:p>
      <w:r>
        <w:rPr>
          <w:rFonts w:ascii="SimSun" w:hAnsi="SimSun" w:eastAsia="SimSun"/>
          <w:color w:val="000000"/>
          <w:sz w:val="21"/>
        </w:rPr>
        <w:t>本系统通过实时采集缆机和车辆的位置、速度等数据，自动识别每台设备的运行状态（接料、送料、卸料、返程），并根据混凝土级配要求和先到先服务原则，自动将等待中的缆机与合适的运输车辆进行匹配调度。调度员在系统界面上即可查看全部设备的实时状态和调度任务，无需逐一电话确认。系统还集成了AI智能调度助手，调度员可通过对话方式获取调度建议，或启动定时自动调度让系统按间隔自动执行智能匹配。</w:t>
      </w:r>
    </w:p>
    <w:p>
      <w:pPr>
        <w:pStyle w:val="Heading2"/>
      </w:pPr>
      <w:r>
        <w:rPr>
          <w:color w:val="000000"/>
        </w:rPr>
        <w:t>二、运行环境</w:t>
      </w:r>
    </w:p>
    <w:p>
      <w:r>
        <w:rPr>
          <w:rFonts w:ascii="SimSun" w:hAnsi="SimSun" w:eastAsia="SimSun"/>
          <w:color w:val="000000"/>
          <w:sz w:val="21"/>
        </w:rPr>
        <w:t>本系统采用浏览器/服务器架构。服务端部署在Linux服务器上，需要Python 3运行环境、Flask Web框架、MySQL数据库（用于读取缆机和车辆的实时位置数据）以及SQLite本地数据库（用于存储调度任务和经验记录）。调度员通过Chrome或Edge浏览器访问系统主界面，司机通过独立端口访问大屏界面。网络环境需确保调度员电脑、司机大屏终端与服务器之间网络连通。</w:t>
      </w:r>
    </w:p>
    <w:p>
      <w:pPr>
        <w:pStyle w:val="Heading2"/>
      </w:pPr>
      <w:r>
        <w:rPr>
          <w:color w:val="000000"/>
        </w:rPr>
        <w:t>三、进入系统</w:t>
      </w:r>
    </w:p>
    <w:p>
      <w:r>
        <w:rPr>
          <w:rFonts w:ascii="SimSun" w:hAnsi="SimSun" w:eastAsia="SimSun"/>
          <w:color w:val="000000"/>
          <w:sz w:val="21"/>
        </w:rPr>
        <w:t>调度员在浏览器地址栏输入系统访问地址后，页面会显示系统启动画面，随后进入主调度界面。主界面分为三个区域：左侧为缆机状态面板，展示4台缆机的实时信息；中间为匹配调度中心，展示当前活跃任务和最近完成的任务；右侧为车辆状态面板，展示所有运输车辆的实时信息。界面顶部显示系统名称、数据同步状态指示灯和深色/浅色主题切换按钮。系统每3秒自动刷新一次设备状态数据，调度员无需手动刷新页面。</w:t>
      </w:r>
    </w:p>
    <w:p>
      <w:pPr>
        <w:pStyle w:val="Heading2"/>
      </w:pPr>
      <w:r>
        <w:rPr>
          <w:color w:val="000000"/>
        </w:rPr>
        <w:t>四、缆机状态监测</w:t>
      </w:r>
    </w:p>
    <w:p>
      <w:r>
        <w:rPr>
          <w:rFonts w:ascii="SimSun" w:hAnsi="SimSun" w:eastAsia="SimSun"/>
          <w:color w:val="000000"/>
          <w:sz w:val="21"/>
        </w:rPr>
        <w:t>缆机状态面板位于界面左侧，以卡片形式展示每台缆机的实时信息。每张卡片显示缆机编号（1号至4号）、当前级配类型（以不同颜色标识）、运行状态标签和位置区域。</w:t>
      </w:r>
    </w:p>
    <w:p>
      <w:r>
        <w:rPr>
          <w:rFonts w:ascii="SimSun" w:hAnsi="SimSun" w:eastAsia="SimSun"/>
          <w:color w:val="000000"/>
          <w:sz w:val="21"/>
        </w:rPr>
        <w:t>系统自动从现场数据库读取每台缆机的实时坐标和运行速度，根据缆机所在的位置区域和速度方向判断其当前状态。当缆机位于990平台且速度较低时，状态显示为"990平台接料"；当缆机从990平台向基坑方向移动时，状态显示为"送料途中"；当缆机到达基坑区域且速度降低时，状态显示为"基坑卸料"；当缆机从基坑返回990平台时，状态显示为"返程途中"。</w:t>
      </w:r>
    </w:p>
    <w:p>
      <w:r>
        <w:rPr>
          <w:rFonts w:ascii="SimSun" w:hAnsi="SimSun" w:eastAsia="SimSun"/>
          <w:color w:val="000000"/>
          <w:sz w:val="21"/>
        </w:rPr>
        <w:t>调度员点击缆机卡片上的级配按钮，弹出级配选择窗口，可为该缆机设置混凝土级配类型。系统支持五种级配：二级配、三级配、四级配、三级配PVA纤维和三级富浆。设置完成后，卡片上以对应颜色显示级配名称。调度员还可点击状态按钮，手动将缆机标记为"检修"或"停用"状态，被标记的缆机不会参与自动匹配。</w:t>
      </w:r>
    </w:p>
    <w:p>
      <w:r>
        <w:rPr>
          <w:rFonts w:ascii="SimSun" w:hAnsi="SimSun" w:eastAsia="SimSun"/>
          <w:color w:val="000000"/>
          <w:sz w:val="21"/>
        </w:rPr>
        <w:t>【截图预留：缆机状态面板，展示4台缆机的卡片信息】</w:t>
      </w:r>
    </w:p>
    <w:p>
      <w:pPr>
        <w:pStyle w:val="Heading2"/>
      </w:pPr>
      <w:r>
        <w:rPr>
          <w:color w:val="000000"/>
        </w:rPr>
        <w:t>五、车辆状态监测</w:t>
      </w:r>
    </w:p>
    <w:p>
      <w:r>
        <w:rPr>
          <w:rFonts w:ascii="SimSun" w:hAnsi="SimSun" w:eastAsia="SimSun"/>
          <w:color w:val="000000"/>
          <w:sz w:val="21"/>
        </w:rPr>
        <w:t>车辆状态面板位于界面右侧，以卡片形式展示每台运输车辆的实时信息。每张卡片显示车辆编号、当前级配类型、运行状态标签和位置区域。</w:t>
      </w:r>
    </w:p>
    <w:p>
      <w:r>
        <w:rPr>
          <w:rFonts w:ascii="SimSun" w:hAnsi="SimSun" w:eastAsia="SimSun"/>
          <w:color w:val="000000"/>
          <w:sz w:val="21"/>
        </w:rPr>
        <w:t>系统同样每3秒自动同步车辆的GPS位置和速度数据，通过车辆的Y坐标所在区域和行驶方向趋势判断其状态。当车辆位于拌合楼区域且未在行驶时，状态显示为"待命"；当车辆从拌合楼向基坑方向行驶时，状态显示为"送料中"；当车辆到达基坑卸料区时，状态显示为"卸料中"；当车辆从基坑返回拌合楼时，状态显示为"返程中"。</w:t>
      </w:r>
    </w:p>
    <w:p>
      <w:r>
        <w:rPr>
          <w:rFonts w:ascii="SimSun" w:hAnsi="SimSun" w:eastAsia="SimSun"/>
          <w:color w:val="000000"/>
          <w:sz w:val="21"/>
        </w:rPr>
        <w:t>由于GPS信号在山区施工现场可能出现波动，系统采用状态锁定机制：只有连续多帧数据确认同一状态变化后，才会更新车辆状态标签，避免状态频繁跳变影响调度判断。</w:t>
      </w:r>
    </w:p>
    <w:p>
      <w:r>
        <w:rPr>
          <w:rFonts w:ascii="SimSun" w:hAnsi="SimSun" w:eastAsia="SimSun"/>
          <w:color w:val="000000"/>
          <w:sz w:val="21"/>
        </w:rPr>
        <w:t>调度员点击车辆卡片上的级配按钮，可为该车辆设置混凝土级配类型，操作方式与缆机级配设置相同。只有已设置级配的车辆才会被纳入自动匹配队列，未设置级配的车辆不会参与匹配。</w:t>
      </w:r>
    </w:p>
    <w:p>
      <w:r>
        <w:rPr>
          <w:rFonts w:ascii="SimSun" w:hAnsi="SimSun" w:eastAsia="SimSun"/>
          <w:color w:val="000000"/>
          <w:sz w:val="21"/>
        </w:rPr>
        <w:t>【截图预留：车辆状态面板，展示运输车辆的卡片信息】</w:t>
      </w:r>
    </w:p>
    <w:p>
      <w:pPr>
        <w:pStyle w:val="Heading2"/>
      </w:pPr>
      <w:r>
        <w:rPr>
          <w:color w:val="000000"/>
        </w:rPr>
        <w:t>六、自动匹配调度</w:t>
      </w:r>
    </w:p>
    <w:p>
      <w:r>
        <w:rPr>
          <w:rFonts w:ascii="SimSun" w:hAnsi="SimSun" w:eastAsia="SimSun"/>
          <w:color w:val="000000"/>
          <w:sz w:val="21"/>
        </w:rPr>
        <w:t>匹配调度中心位于界面中间区域，是系统的核心调度区域。系统在后台持续运行自动匹配算法，工作过程如下：</w:t>
      </w:r>
    </w:p>
    <w:p>
      <w:r>
        <w:rPr>
          <w:rFonts w:ascii="SimSun" w:hAnsi="SimSun" w:eastAsia="SimSun"/>
          <w:color w:val="000000"/>
          <w:sz w:val="21"/>
        </w:rPr>
        <w:t>当一台缆机从返程状态回到990平台进入接料状态时，系统自动将该缆机加入缆机等待队列。当一辆车辆开始送料且已设置级配时，系统自动将该车辆加入车辆等待队列。缆机按入队时间先后排序（先到的优先），车辆按优先级排序——已到达卸料区的车辆优先于还在送料途中的车辆，同优先级内按入队时间排序。</w:t>
      </w:r>
    </w:p>
    <w:p>
      <w:r>
        <w:rPr>
          <w:rFonts w:ascii="SimSun" w:hAnsi="SimSun" w:eastAsia="SimSun"/>
          <w:color w:val="000000"/>
          <w:sz w:val="21"/>
        </w:rPr>
        <w:t>系统每3秒执行一次匹配检查：从缆机等待队列中取出排在最前面的缆机，在车辆等待队列中查找级配相同的车辆，优先匹配已到达卸料区的车辆。匹配成功后，系统自动创建调度任务，任务信息包括匹配的缆机编号、车辆编号、级配类型和创建时间，同时将匹配结果写入车辆调度数据库，通知对应司机。活跃任务以卡片形式显示在匹配中心，调度员可随时查看。</w:t>
      </w:r>
    </w:p>
    <w:p>
      <w:r>
        <w:rPr>
          <w:rFonts w:ascii="SimSun" w:hAnsi="SimSun" w:eastAsia="SimSun"/>
          <w:color w:val="000000"/>
          <w:sz w:val="21"/>
        </w:rPr>
        <w:t>当缆机开始送料或车辆开始返程时（任一条件满足即可），系统自动将任务标记为完成，对应的缆机和车辆恢复空闲状态，可参与下一次匹配。这种"任一触发即完成"的逻辑确保了任务不会因单方延迟而一直挂起。</w:t>
      </w:r>
    </w:p>
    <w:p>
      <w:r>
        <w:rPr>
          <w:rFonts w:ascii="SimSun" w:hAnsi="SimSun" w:eastAsia="SimSun"/>
          <w:color w:val="000000"/>
          <w:sz w:val="21"/>
        </w:rPr>
        <w:t>【截图预留：匹配调度中心，展示活跃任务和完成记录】</w:t>
      </w:r>
    </w:p>
    <w:p>
      <w:pPr>
        <w:pStyle w:val="Heading2"/>
      </w:pPr>
      <w:r>
        <w:rPr>
          <w:color w:val="000000"/>
        </w:rPr>
        <w:t>七、手动调度操作</w:t>
      </w:r>
    </w:p>
    <w:p>
      <w:r>
        <w:rPr>
          <w:rFonts w:ascii="SimSun" w:hAnsi="SimSun" w:eastAsia="SimSun"/>
          <w:color w:val="000000"/>
          <w:sz w:val="21"/>
        </w:rPr>
        <w:t>除自动匹配外，调度员也可手动创建调度任务。操作步骤如下：</w:t>
      </w:r>
    </w:p>
    <w:p>
      <w:pPr>
        <w:pStyle w:val="ListNumber"/>
      </w:pPr>
      <w:r>
        <w:rPr>
          <w:rFonts w:ascii="SimSun" w:hAnsi="SimSun" w:eastAsia="SimSun"/>
          <w:color w:val="000000"/>
          <w:sz w:val="21"/>
        </w:rPr>
        <w:t>在缆机面板中点击选择一台缆机（选中后卡片会高亮显示）。</w:t>
      </w:r>
    </w:p>
    <w:p>
      <w:pPr>
        <w:pStyle w:val="ListNumber"/>
      </w:pPr>
      <w:r>
        <w:rPr>
          <w:rFonts w:ascii="SimSun" w:hAnsi="SimSun" w:eastAsia="SimSun"/>
          <w:color w:val="000000"/>
          <w:sz w:val="21"/>
        </w:rPr>
        <w:t>在车辆面板中点击选择一台级配相同的车辆。</w:t>
      </w:r>
    </w:p>
    <w:p>
      <w:pPr>
        <w:pStyle w:val="ListNumber"/>
      </w:pPr>
      <w:r>
        <w:rPr>
          <w:rFonts w:ascii="SimSun" w:hAnsi="SimSun" w:eastAsia="SimSun"/>
          <w:color w:val="000000"/>
          <w:sz w:val="21"/>
        </w:rPr>
        <w:t>在匹配中心点击"创建任务"按钮。</w:t>
      </w:r>
    </w:p>
    <w:p>
      <w:r>
        <w:rPr>
          <w:rFonts w:ascii="SimSun" w:hAnsi="SimSun" w:eastAsia="SimSun"/>
          <w:color w:val="000000"/>
          <w:sz w:val="21"/>
        </w:rPr>
        <w:t>系统会校验缆机与车辆的级配是否一致，以及双方是否已有进行中的任务。校验通过后创建调度任务，任务卡片出现在匹配中心。</w:t>
      </w:r>
    </w:p>
    <w:p>
      <w:r>
        <w:rPr>
          <w:rFonts w:ascii="SimSun" w:hAnsi="SimSun" w:eastAsia="SimSun"/>
          <w:color w:val="000000"/>
          <w:sz w:val="21"/>
        </w:rPr>
        <w:t>对于已创建的任务，调度员可在任务卡片上点击"完成"按钮手动结束任务，或点击"取消"按钮取消任务。手动完成或取消后，对应的缆机和车辆恢复空闲状态，可参与下一次匹配。</w:t>
      </w:r>
    </w:p>
    <w:p>
      <w:r>
        <w:rPr>
          <w:rFonts w:ascii="SimSun" w:hAnsi="SimSun" w:eastAsia="SimSun"/>
          <w:color w:val="000000"/>
          <w:sz w:val="21"/>
        </w:rPr>
        <w:t>【截图预留：手动创建调度任务的操作界面】</w:t>
      </w:r>
    </w:p>
    <w:p>
      <w:pPr>
        <w:pStyle w:val="Heading2"/>
      </w:pPr>
      <w:r>
        <w:rPr>
          <w:color w:val="000000"/>
        </w:rPr>
        <w:t>八、AI智能调度助手</w:t>
      </w:r>
    </w:p>
    <w:p>
      <w:r>
        <w:rPr>
          <w:rFonts w:ascii="SimSun" w:hAnsi="SimSun" w:eastAsia="SimSun"/>
          <w:color w:val="000000"/>
          <w:sz w:val="21"/>
        </w:rPr>
        <w:t>系统右下角有一个AI助手按钮，点击后展开AI助手面板。调度员可在对话框中输入问题或指令，AI助手会读取当前所有缆机和车辆的实时状态，分析调度态势并给出建议。</w:t>
      </w:r>
    </w:p>
    <w:p>
      <w:r>
        <w:rPr>
          <w:rFonts w:ascii="SimSun" w:hAnsi="SimSun" w:eastAsia="SimSun"/>
          <w:color w:val="000000"/>
          <w:sz w:val="21"/>
        </w:rPr>
        <w:t>例如，调度员可以输入"当前哪台缆机等待时间最长"或"建议为1号缆机匹配哪辆车"，AI助手会基于位置优先级和级配匹配规则给出推荐方案，并以文字形式说明推荐理由。调度员点击AI助手面板中的"智能调度"按钮，AI会自动分析当前系统状态并执行调度匹配，将匹配结果以文字说明的形式展示。</w:t>
      </w:r>
    </w:p>
    <w:p>
      <w:r>
        <w:rPr>
          <w:rFonts w:ascii="SimSun" w:hAnsi="SimSun" w:eastAsia="SimSun"/>
          <w:color w:val="000000"/>
          <w:sz w:val="21"/>
        </w:rPr>
        <w:t>调度员还可点击设置按钮配置AI服务的API地址、密钥和模型名称。配置完成后可点击测试按钮验证连接是否正常。首次使用前需完成配置。</w:t>
      </w:r>
    </w:p>
    <w:p>
      <w:r>
        <w:rPr>
          <w:rFonts w:ascii="SimSun" w:hAnsi="SimSun" w:eastAsia="SimSun"/>
          <w:color w:val="000000"/>
          <w:sz w:val="21"/>
        </w:rPr>
        <w:t>【截图预留：AI助手面板，展示对话和智能调度功能】</w:t>
      </w:r>
    </w:p>
    <w:p>
      <w:pPr>
        <w:pStyle w:val="Heading2"/>
      </w:pPr>
      <w:r>
        <w:rPr>
          <w:color w:val="000000"/>
        </w:rPr>
        <w:t>九、AI定时自动调度</w:t>
      </w:r>
    </w:p>
    <w:p>
      <w:r>
        <w:rPr>
          <w:rFonts w:ascii="SimSun" w:hAnsi="SimSun" w:eastAsia="SimSun"/>
          <w:color w:val="000000"/>
          <w:sz w:val="21"/>
        </w:rPr>
        <w:t>在AI助手面板中，调度员可启动定时自动调度功能。点击"启动定时调度"按钮后，系统按设定的时间间隔（默认3分钟）自动调用AI分析当前调度态势并执行匹配。</w:t>
      </w:r>
    </w:p>
    <w:p>
      <w:r>
        <w:rPr>
          <w:rFonts w:ascii="SimSun" w:hAnsi="SimSun" w:eastAsia="SimSun"/>
          <w:color w:val="000000"/>
          <w:sz w:val="21"/>
        </w:rPr>
        <w:t>面板上实时显示调度器的运行状态（运行中/已停止）、已执行调度次数、最近调度时间和调度结果摘要。调度员可随时点击"停止定时调度"按钮暂停自动调度。</w:t>
      </w:r>
    </w:p>
    <w:p>
      <w:r>
        <w:rPr>
          <w:rFonts w:ascii="SimSun" w:hAnsi="SimSun" w:eastAsia="SimSun"/>
          <w:color w:val="000000"/>
          <w:sz w:val="21"/>
        </w:rPr>
        <w:t>每次AI调度的决策理由和执行结果都会记录到调度经验库中，供后续调度参考和调度员查阅。</w:t>
      </w:r>
    </w:p>
    <w:p>
      <w:r>
        <w:rPr>
          <w:rFonts w:ascii="SimSun" w:hAnsi="SimSun" w:eastAsia="SimSun"/>
          <w:color w:val="000000"/>
          <w:sz w:val="21"/>
        </w:rPr>
        <w:t>【截图预留：AI定时调度器的状态显示】</w:t>
      </w:r>
    </w:p>
    <w:p>
      <w:pPr>
        <w:pStyle w:val="Heading2"/>
      </w:pPr>
      <w:r>
        <w:rPr>
          <w:color w:val="000000"/>
        </w:rPr>
        <w:t>十、调度经验反馈</w:t>
      </w:r>
    </w:p>
    <w:p>
      <w:r>
        <w:rPr>
          <w:rFonts w:ascii="SimSun" w:hAnsi="SimSun" w:eastAsia="SimSun"/>
          <w:color w:val="000000"/>
          <w:sz w:val="21"/>
        </w:rPr>
        <w:t>系统记录每次AI调度的决策过程和执行结果。调度员可在经验记录中对调度结果标记为"成功"或"失败"，并填写失败原因或修正说明。</w:t>
      </w:r>
    </w:p>
    <w:p>
      <w:r>
        <w:rPr>
          <w:rFonts w:ascii="SimSun" w:hAnsi="SimSun" w:eastAsia="SimSun"/>
          <w:color w:val="000000"/>
          <w:sz w:val="21"/>
        </w:rPr>
        <w:t>如果调度员在实际操作中修改了AI的调度安排（例如取消了AI创建的任务并重新手动匹配），系统会自动标记为"调度员修正"并记录修正原因。系统统计总调度次数、成功次数、失败次数和调度员修正次数，计算调度成功率。这些统计数据供AI在后续调度中参考改进，提高调度准确性。</w:t>
      </w:r>
    </w:p>
    <w:p>
      <w:r>
        <w:rPr>
          <w:rFonts w:ascii="SimSun" w:hAnsi="SimSun" w:eastAsia="SimSun"/>
          <w:color w:val="000000"/>
          <w:sz w:val="21"/>
        </w:rPr>
        <w:t>【截图预留：调度经验反馈界面】</w:t>
      </w:r>
    </w:p>
    <w:p>
      <w:pPr>
        <w:pStyle w:val="Heading2"/>
      </w:pPr>
      <w:r>
        <w:rPr>
          <w:color w:val="000000"/>
        </w:rPr>
        <w:t>十一、司机大屏显示</w:t>
      </w:r>
    </w:p>
    <w:p>
      <w:r>
        <w:rPr>
          <w:rFonts w:ascii="SimSun" w:hAnsi="SimSun" w:eastAsia="SimSun"/>
          <w:color w:val="000000"/>
          <w:sz w:val="21"/>
        </w:rPr>
        <w:t>系统提供独立的司机大屏界面，在独立端口运行。调度员将大屏地址告知司机后，司机可在驾驶室终端浏览器中打开该地址。</w:t>
      </w:r>
    </w:p>
    <w:p>
      <w:r>
        <w:rPr>
          <w:rFonts w:ascii="SimSun" w:hAnsi="SimSun" w:eastAsia="SimSun"/>
          <w:color w:val="000000"/>
          <w:sz w:val="21"/>
        </w:rPr>
        <w:t>大屏以大字体展示当前分配给各车辆的调度任务信息，包括车辆编号、匹配的缆机编号和混凝土级配类型。司机无需登录或操作调度系统，打开页面即可看到自己的调度安排。大屏内容随调度任务变化自动刷新。</w:t>
      </w:r>
    </w:p>
    <w:p>
      <w:r>
        <w:rPr>
          <w:rFonts w:ascii="SimSun" w:hAnsi="SimSun" w:eastAsia="SimSun"/>
          <w:color w:val="000000"/>
          <w:sz w:val="21"/>
        </w:rPr>
        <w:t>【截图预留：司机大屏界面】</w:t>
      </w:r>
    </w:p>
    <w:sectPr w:rsidR="00FC693F" w:rsidRPr="0006063C" w:rsidSect="00034616">
      <w:headerReference w:type="default" r:id="rId9"/>
      <w:footerReference w:type="default" r:id="rId10"/>
      <w:pgSz w:w="11906" w:h="16838"/>
      <w:pgMar w:top="850" w:right="794"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color w:val="000000"/>
    </w:rPr>
  </w:style>
  <w:style w:type="character" w:customStyle="1" w:styleId="BodyText3Char">
    <w:name w:val="Body Text 3 Char"/>
    <w:basedOn w:val="DefaultParagraphFont"/>
    <w:link w:val="BodyText3"/>
    <w:uiPriority w:val="99"/>
    <w:rsid w:val="00AA1D8D"/>
    <w:rPr>
      <w:sz w:val="16"/>
      <w:szCs w:val="16"/>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color w:val="000000"/>
    </w:rPr>
  </w:style>
  <w:style w:type="character" w:customStyle="1" w:styleId="MacroTextChar">
    <w:name w:val="Macro Text Char"/>
    <w:basedOn w:val="DefaultParagraphFont"/>
    <w:link w:val="MacroText"/>
    <w:uiPriority w:val="99"/>
    <w:rsid w:val="0029639D"/>
    <w:rPr>
      <w:rFonts w:ascii="Courier" w:hAnsi="Courier"/>
      <w:sz w:val="20"/>
      <w:szCs w:val="20"/>
      <w:color w:val="00000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color w:val="000000"/>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rPr>
    </w:tblStylePr>
    <w:tblStylePr w:type="lastCol">
      <w:rPr>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rPr>
    </w:tblStylePr>
    <w:tblStylePr w:type="lastCol">
      <w:rPr>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rPr>
    </w:tblStylePr>
    <w:tblStylePr w:type="lastCol">
      <w:rPr>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rPr>
    </w:tblStylePr>
    <w:tblStylePr w:type="lastCol">
      <w:rPr>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rPr>
    </w:tblStylePr>
    <w:tblStylePr w:type="lastCol">
      <w:rPr>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rPr>
    </w:tblStylePr>
    <w:tblStylePr w:type="lastCol">
      <w:rPr>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color w:val="000000"/>
      </w:rPr>
    </w:tblStylePr>
    <w:tblStylePr w:type="lastCol">
      <w:rPr>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color w:val="000000"/>
      </w:rPr>
    </w:tblStylePr>
    <w:tblStylePr w:type="lastCol">
      <w:rPr>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color w:val="000000"/>
      </w:rPr>
    </w:tblStylePr>
    <w:tblStylePr w:type="lastCol">
      <w:rPr>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color w:val="000000"/>
      </w:rPr>
    </w:tblStylePr>
    <w:tblStylePr w:type="lastCol">
      <w:rPr>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color w:val="000000"/>
      </w:rPr>
    </w:tblStylePr>
    <w:tblStylePr w:type="lastCol">
      <w:rPr>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color w:val="000000"/>
      </w:rPr>
    </w:tblStylePr>
    <w:tblStylePr w:type="lastCol">
      <w:rPr>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color w:val="000000"/>
      </w:rPr>
    </w:tblStylePr>
    <w:tblStylePr w:type="lastCol">
      <w:rPr>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color w:val="000000"/>
      </w:rPr>
    </w:tblStylePr>
    <w:tblStylePr w:type="lastRow">
      <w:rPr>
        <w:b/>
        <w:bCs/>
        <w:color w:val="000000"/>
      </w:rPr>
      <w:tblPr/>
      <w:tcPr>
        <w:tcBorders>
          <w:top w:val="single" w:sz="18" w:space="0" w:color="404040" w:themeColor="tex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color w:val="000000"/>
      </w:rPr>
    </w:tblStylePr>
    <w:tblStylePr w:type="lastRow">
      <w:rPr>
        <w:b/>
        <w:bCs/>
        <w:color w:val="000000"/>
      </w:rPr>
      <w:tblPr/>
      <w:tcPr>
        <w:tcBorders>
          <w:top w:val="single" w:sz="18" w:space="0" w:color="7BA0CD" w:themeColor="accent1" w:themeTint="BF"/>
        </w:tcBorders>
      </w:tcPr>
    </w:tblStylePr>
    <w:tblStylePr w:type="firstCol">
      <w:rPr>
        <w:b/>
        <w:bCs/>
        <w:color w:val="000000"/>
      </w:rPr>
    </w:tblStylePr>
    <w:tblStylePr w:type="lastCol">
      <w:rPr>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color w:val="000000"/>
      </w:rPr>
    </w:tblStylePr>
    <w:tblStylePr w:type="lastRow">
      <w:rPr>
        <w:b/>
        <w:bCs/>
        <w:color w:val="000000"/>
      </w:rPr>
      <w:tblPr/>
      <w:tcPr>
        <w:tcBorders>
          <w:top w:val="single" w:sz="18" w:space="0" w:color="CF7B79" w:themeColor="accent2" w:themeTint="BF"/>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color w:val="000000"/>
      </w:rPr>
    </w:tblStylePr>
    <w:tblStylePr w:type="lastRow">
      <w:rPr>
        <w:b/>
        <w:bCs/>
        <w:color w:val="000000"/>
      </w:rPr>
      <w:tblPr/>
      <w:tcPr>
        <w:tcBorders>
          <w:top w:val="single" w:sz="18" w:space="0" w:color="B3CC82" w:themeColor="accent3" w:themeTint="BF"/>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color w:val="000000"/>
      </w:rPr>
    </w:tblStylePr>
    <w:tblStylePr w:type="lastRow">
      <w:rPr>
        <w:b/>
        <w:bCs/>
        <w:color w:val="000000"/>
      </w:rPr>
      <w:tblPr/>
      <w:tcPr>
        <w:tcBorders>
          <w:top w:val="single" w:sz="18" w:space="0" w:color="9F8AB9" w:themeColor="accent4" w:themeTint="BF"/>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color w:val="000000"/>
      </w:rPr>
    </w:tblStylePr>
    <w:tblStylePr w:type="lastRow">
      <w:rPr>
        <w:b/>
        <w:bCs/>
        <w:color w:val="000000"/>
      </w:rPr>
      <w:tblPr/>
      <w:tcPr>
        <w:tcBorders>
          <w:top w:val="single" w:sz="18" w:space="0" w:color="78C0D4" w:themeColor="accent5" w:themeTint="BF"/>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color w:val="000000"/>
      </w:rPr>
    </w:tblStylePr>
    <w:tblStylePr w:type="lastRow">
      <w:rPr>
        <w:b/>
        <w:bCs/>
        <w:color w:val="000000"/>
      </w:rPr>
      <w:tblPr/>
      <w:tcPr>
        <w:tcBorders>
          <w:top w:val="single" w:sz="18" w:space="0" w:color="F9B074" w:themeColor="accent6" w:themeTint="BF"/>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