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/>
      <w:r>
        <w:rPr>
          <w:b/>
          <w:color w:val="C00000"/>
          <w:sz w:val="30"/>
          <w:rFonts w:ascii="Microsoft YaHei" w:hAnsi="Microsoft YaHei" w:eastAsia="Microsoft YaHei" w:cs="Microsoft YaHei"/>
        </w:rPr>
        <w:t>本次修订说明（v1.2 → v1.3）</w:t>
      </w:r>
    </w:p>
    <w:p>
      <w:pPr>
        <w:spacing w:after="8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联调开始前，我方把系统代码与本规范做了一次逐条比对，发现若干处「规范里写的」与「系统实际行为」不一致——大多是我方在开发过程中调整了实现、而规范没有同步更新造成的。为免分多次打扰您，这次一并改齐，共 26 处。</w:t>
      </w:r>
    </w:p>
    <w:p>
      <w:pPr>
        <w:spacing w:after="24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下表逐条列明：改了什么、为什么这样改、以及为何此前没有写清楚。其中 A 类 6 项建议优先过目——这几处若两边理解不一致，联调时会表现为「消息发出去了但对方没反应」这类不易定位的问题。</w:t>
      </w:r>
    </w:p>
    <w:p>
      <w:pPr>
        <w:spacing w:after="120"/>
        <w:jc w:val="center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我方实际下发的就是 record_type 原值。取值对不上时，病历写入成功但刷新消息匹配不到，医生界面不会刷新。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target，门诊场景下outpatient_record 恰好也说得通，因此未被发现；扩展到住院文书后才暴露该拼法不成立（会拼出 course_record_record），我方已统一为直接下发 record_type。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定连接拓扑时写明了「路由回来源诊室」，但未写明来源连接失效时的兜底行为，属我方遗漏。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意识到。我方数据结构里其实预留了这个位置，只是规范没写、贵方自然也不会推。这一条是我方设计上的疏漏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示例漏写了这四个字段。示例与正文打架时开发者通常照示例做，这是我方文档的疏漏。（随附的两份参考实现里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存成配置或成员变量是很自然的写法，规范没写清是我方的疏漏。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章未同步删除，造成同一份文档内部口径不一致，是我方的疏漏。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446070"/>
          <w:sz w:val="24"/>
          <w:rFonts w:ascii="Microsoft YaHei" w:hAnsi="Microsoft YaHei" w:eastAsia="Microsoft YaHei" w:cs="Microsoft YaHei"/>
        </w:rPr>
        <w:t>C 类｜口径补充，避免联调时产生分歧（16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record_type 枚举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枚举由 7 个补齐为 10 个，新增 senior_round（上级查房）、pre_op_summary（术前小结）、post_op_record（术后病程）。三者均为住院文书，本期门诊/急诊联调不会出现，贵方无需为此开发；按 2.5 的约定忽略无法识别的枚举值即可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先把枚举补全，等将来上住院模块时不必再改一次规范。本期不涉及，列在此处仅供备查。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我方住院文书类型最初只规划了入院记录/病程/出院记录/手术记录四类，后按《病历书写基本规范》补齐了查房与围手术期文书，本规范的枚举当时未同步更新。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公共请求头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新增请求头 X-Request-Id（仅方案 A 的回写方向使用）：同一份文书的所有重发该值恒定，可作请求级去重。本期通道为方案 B，WebSocket 信封中没有这个字段，贵方无需实现；仅当将来回落 HTTP 时才涉及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网络超时时可能出现「贵方已写库、我方未收到响应」的情形，此时我方会重发。多这一个头，贵方可据此直接返回上次结果。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这是我方新增的一层保护，属能力增强而非贵方遗漏。初稿把它列进了「开发前必须对齐」，但它只存在于方案 A 的 HTTP 头里，对本期方案 B 是空的——列错优先级会让贵方白做一遍，本次已降级并注明适用范围。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握手鉴权失败的响应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由「HTTP 401」更正为「HTTP 403」（无 WebSocket close code）。属事实更正，贵方无需为此改动代码——实际收到的就是 403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我方在 WebSocket 升级完成之前就拒绝，服务器固定返回 403。这是握手期最主要的排障信号，写错会让贵方按 401 找错方向。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 HTTP 语义写成 401，未实测 WebSocket 握手阶段被拒时服务器的真实返回码。本次实测后更正。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A.2 回写示例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补上 record_no 与 full_text 两个顶层字段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这两个字段 3.2 字段表中本就有、我方每次都会下发；其中 record_no 是 2.5 幂等键的第三段，住院多份文书靠它区分。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示例报文是初版手写的门诊样例，后续字段表新增这两项时示例未同步更新。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写明我方恒发 draft：病历落贵方草稿/待确认态，医生可在 HIS 端继续编辑，点确认/保存后才真实落库；final 为后续预留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明确本期实际行为，避免为 final 分支做无谓准备。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规范给出 draft/final 两个取值是为留扩展余地，但未写明本期我方实际只发 draft，属口径未写明。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dept_code / dept_name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补充说明：我方按 dept_code 自动登记并以此作为本次接诊的科室（不是医生编制科室），请确保同一科室取值稳定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医生跨科室坐班时，病历上的科室须为本次挂号的科室。写明用途后，贵方能判断取值稳定性的重要程度。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已确认取科室表「本地ID」列，但未写明我方拿它做什么，贵方无从判断其重要性。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id_card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维持选填，补充「强烈建议推送」及原因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我方跨就诊关联同一患者依赖身份证或「手机号+姓名」。两者都缺时，同一位患者每次就诊都会新建档案，医生将看不到其既往病历与过敏史。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起草时按普通选填字段标注，未评估该字段缺失对患者档案关联的实际影响。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幂等与补推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幂等键写明为 hospital_code + visit_id；补充「重复推送若带新 doctor_code 会自动改派医生」「体征与档案字段仅首次推送生效」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便于贵方安排推送时机——若护士补测体征后再推，该部分数据不会更新，建议首次推送时尽量带齐。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幂等键起草时按单院场景只写了 visit_id，实际实现为支持多院隔离加了 hospital_code；补推行为则是业务联动上线后才形成的规则，均未回写规范。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选填字段取值容错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补充：性别接受 male/female/unknown 与国标代码 1/2/9 与中文；初诊标志接受 bool 与代码 1/2；体征、身份证、手机号接受 JSON 数字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贵方按 HIS 原生类型推送即可，不必为迁就我方做额外的类型转换。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这是我方本次新增的容错能力（此前对类型要求较严），属能力增强，为降低贵方对接成本。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/ 2.4 重试规则与错误码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标注 40006（nonce 重复）仅适用于方案 A 与握手；方案 B 的业务消息不做 nonce 去重，重发时 msg_id 保持不变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消除 2.2「重发须重新生成 nonce」与 7.4「重发 msg_id 不变」读起来互相矛盾的问题。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2.2 是按方案 A（HTTP）起草的。通道定为方案 B 后，未区分两个通道在防重放机制上的差异。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心跳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明确由我方每 30 秒下发 ping，贵方收到回 pong 即可（无需主动发起）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贵方不必实现心跳发起与空闲计时逻辑。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起草时写「任一方」以示对称，实际实现为我方单向发起。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6 章 联调与验收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按方案 B 重写验收步骤；并在最前面增加一步「医生名单交换」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原步骤中「我方 POST 到贵方接口」与 5.3「贵方无需对外开放接口」冲突。另：参与联调的医生工号需先在我方开户（一位医生的多个工号请一并提供），否则首条接诊推送会返回 40007。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6 章沿用方案 A 的流程未重写；医生开户这一前置条件是我方业务联动上线后才产生的要求。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A.1 接诊示例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dept_code 示例由 0101 改为 1230024，dept_name 改为「全科」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与附录 B 已确认的取值口径、以及已交付的参考实现保持一致。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示例用的是取值定稿前的占位值，定稿后未同步。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2.5 字段语义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补充对象/数组型字段的空值语义：record / vitals / meta / diagnoses 整体缺省或为空（{} / []）均表示不更新该组；并写明我方本期不使用空串语义，字段为空即不下发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 diagnoses 为空数组时被理解成「清空诊断」，把贵方已有的诊断抹掉。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2.5 起草时只定义了标量字段的缺省/空串两态，未覆盖对象与数组；我方实际也未使用空串语义，一并写明。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meta.generated_at / meta.doctor_code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generated_at 说明为「本次回写报文的生成时间（重发时会刷新）」；doctor_code 说明为「该就诊的接诊医生工号（取自 3.1 推送）」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写明取值来源，避免被当作其它口径入库统计。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字段名沿用直觉命名，未写明取值来源，属说明不够precise。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2.1 时间格式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补充「所有时间均为北京时间（UTC+8），不带时区后缀」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避免双方对时间基准产生分歧。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起草时默认双方同处北京时间，未显式写明。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40"/>
        <w:jc w:val="center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以下为规范正文（v1.3）。正文中对应上述条目的位置已同步修订，均以黄色高亮 + 句首「▲」标出，便于对照。</w:t>
      </w:r>
    </w:p>
    <w:p>
      <w:pPr>
        <w:spacing w:after="240"/>
        <w:jc w:val="center"/>
      </w:pPr>
      <w:r/>
      <w:r>
        <w:rPr>
          <w:b w:val="0"/>
          <w:color w:val="666666"/>
          <w:sz w:val="18"/>
          <w:rFonts w:ascii="Microsoft YaHei" w:hAnsi="Microsoft YaHei" w:eastAsia="Microsoft YaHei" w:cs="Microsoft YaHei"/>
        </w:rPr>
        <w:t>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highlight w:val="yellow"/>
        </w:rPr>
        <w:t>▲ v1.3 修订：共 26 处，逐条见文首《本次修订说明》。（v1.2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请求级幂等键。同一份文书的所有重发（含超时重试与我方对账补投）该值恒定，建议贵方据此做一层请求去重；不参与签名计算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幂等与补推说明：幂等键为 hospital_code + visit_id（请保证同一次就诊两者完全一致）；重复推送复用已有接诊，若携带新的 doctor_code 会自动改派医生。体征与档案字段仅在该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highlight w:val="yellow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请贵方提供：测试环境的 HIS 客户端与测试用就诊数据；测试凭证由我方分配（方案 B 为单向一套，贵方无需为我方分配）。先在测试环境跑通再上生产。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highlight w:val="yellow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highlight w:val="yellow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highlight w:val="yellow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