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v1.3 修订：共 29 处。其中需请您过目的 11 处已整理成表，见文末《附录 C：本次修订说明》——A 类 7 项建议在开发前先看；其余为口径写明，不改变接口本身、也不增加贵方工作量。正文中修订过的位置均以句首「▲」+ 淡底色标出。（v1.2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pPr>
        <w:spacing w:after="200"/>
        <w:jc w:val="center"/>
      </w:pPr>
      <w:r/>
      <w:r>
        <w:rPr>
          <w:b/>
          <w:color w:val="C00000"/>
          <w:sz w:val="28"/>
          <w:rFonts w:ascii="Microsoft YaHei" w:hAnsi="Microsoft YaHei" w:eastAsia="Microsoft YaHei" w:cs="Microsoft YaHei"/>
        </w:rPr>
        <w:t>附录 C：本次修订说明（v1.2 → v1.3）</w:t>
      </w:r>
    </w:p>
    <w:p>
      <w:pPr>
        <w:spacing w:after="8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处，列在下面两张表里：一张是请您对齐的，一张是原要求已取消、贵方可以少做的。正文相应位置均已改好，本附录只是把改动之处集中列出来便于核对，不必与正文对照着读。</w:t>
      </w:r>
    </w:p>
    <w:p>
      <w:pPr>
        <w:spacing w:after="240" w:line="360" w:lineRule="auto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18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outpatient。本期门诊、急诊即适用，不是只影响住院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本期门诊第一个病人就会遇到：门诊的 record_type 是 outpatient，我方刷新消息里的 target 下发的就是 outpatient，而不是旧版示例写的 outpatient_record（急诊同理，是 emergency）。若贵方按旧示例匹配 outpatient_record，表现为病历已成功写入、医生界面却始终不刷新——而两边日志都显示成功，这类问题最难查。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target，门诊下 outpatient_record 念着也通顺，所以一直没被发现；后来扩展到住院文书才暴露这个拼法根本不成立（会拼出 course_record_record），于是统一改为直接下发 record_type 原值。住院只是当初暴露问题的场景，门诊同样适用。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200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以上两类以及未单独罗列的口径写明，均已在正文对应位置就地改好，并以淡底色 + 句首「▲」标出，便于对照。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